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ind w:firstLine="420"/>
      </w:pPr>
    </w:p>
    <w:p>
      <w:pPr>
        <w:pStyle w:val="2"/>
        <w:spacing w:before="0" w:beforeLines="0" w:after="156"/>
        <w:rPr>
          <w:sz w:val="32"/>
          <w:szCs w:val="48"/>
        </w:rPr>
      </w:pPr>
      <w:r>
        <w:rPr>
          <w:rFonts w:hint="eastAsia"/>
          <w:sz w:val="32"/>
          <w:szCs w:val="48"/>
        </w:rPr>
        <w:t>关于“天弈奖”评选及申报的相关说明</w:t>
      </w:r>
    </w:p>
    <w:p>
      <w:pPr>
        <w:spacing w:before="156" w:after="156"/>
        <w:ind w:firstLine="0" w:firstLineChars="0"/>
        <w:jc w:val="center"/>
      </w:pPr>
      <w:r>
        <w:rPr>
          <w:rFonts w:hint="eastAsia"/>
        </w:rPr>
        <w:t>2</w:t>
      </w:r>
      <w:r>
        <w:t>023</w:t>
      </w:r>
      <w:r>
        <w:rPr>
          <w:rFonts w:hint="eastAsia"/>
        </w:rPr>
        <w:t>年9月</w:t>
      </w:r>
      <w:r>
        <w:t>5</w:t>
      </w:r>
      <w:r>
        <w:rPr>
          <w:rFonts w:hint="eastAsia"/>
        </w:rPr>
        <w:t>日</w:t>
      </w:r>
    </w:p>
    <w:p>
      <w:pPr>
        <w:spacing w:before="156" w:after="156"/>
        <w:ind w:firstLine="420"/>
      </w:pPr>
    </w:p>
    <w:p>
      <w:pPr>
        <w:pStyle w:val="3"/>
        <w:spacing w:before="156" w:after="156"/>
      </w:pPr>
      <w:r>
        <w:rPr>
          <w:rFonts w:hint="eastAsia"/>
        </w:rPr>
        <w:t xml:space="preserve"> </w:t>
      </w:r>
      <w:r>
        <w:t xml:space="preserve">   </w:t>
      </w:r>
      <w:r>
        <w:rPr>
          <w:rFonts w:hint="eastAsia"/>
        </w:rPr>
        <w:t>一、“天弈奖”简介</w:t>
      </w:r>
    </w:p>
    <w:p>
      <w:pPr>
        <w:spacing w:before="156" w:after="156"/>
        <w:ind w:firstLine="420"/>
      </w:pPr>
      <w:r>
        <w:rPr>
          <w:rFonts w:hint="eastAsia"/>
        </w:rPr>
        <w:t>天弈奖基于金融的本质在于经营管理风险和服务实体经济的理念，以现代金融风险管理理论为指导，对我国金融机构风险经营管理前沿实践进行挖掘、汇集和评优；</w:t>
      </w:r>
    </w:p>
    <w:p>
      <w:pPr>
        <w:spacing w:before="156" w:after="156"/>
        <w:ind w:firstLine="420"/>
      </w:pPr>
      <w:r>
        <w:rPr>
          <w:rFonts w:hint="eastAsia"/>
        </w:rPr>
        <w:t>天弈奖旨在倡导现代金融风险管理重要理念、制度和方法，宣传和推广业界领先实践和优秀案例，促进理论与实践、国际领先实践与中国领先实践的有效结合，从而助力金融有效服务实体经济高质量发展和防范化解系统性风险；</w:t>
      </w:r>
    </w:p>
    <w:p>
      <w:pPr>
        <w:spacing w:before="156" w:after="156"/>
        <w:ind w:firstLine="420"/>
      </w:pPr>
      <w:r>
        <w:rPr>
          <w:rFonts w:hint="eastAsia"/>
        </w:rPr>
        <w:t>天弈奖由陈忠阳教授联合天弈TGES平台专家发起，由天弈全球专家研讨（TGES）专家交流平台和中国金融风险经理论坛（自2</w:t>
      </w:r>
      <w:r>
        <w:t>005</w:t>
      </w:r>
      <w:r>
        <w:rPr>
          <w:rFonts w:hint="eastAsia"/>
        </w:rPr>
        <w:t>年）联合组织，力争突出体现中立性、专业性、创新性和代表性的评奖原则。</w:t>
      </w:r>
    </w:p>
    <w:p>
      <w:pPr>
        <w:pStyle w:val="3"/>
        <w:spacing w:before="156" w:after="156"/>
      </w:pPr>
      <w:r>
        <w:rPr>
          <w:rFonts w:hint="eastAsia"/>
        </w:rPr>
        <w:t xml:space="preserve"> </w:t>
      </w:r>
      <w:r>
        <w:t xml:space="preserve">   </w:t>
      </w:r>
      <w:r>
        <w:rPr>
          <w:rFonts w:hint="eastAsia"/>
        </w:rPr>
        <w:t>二、评选范围与申报条件</w:t>
      </w:r>
    </w:p>
    <w:p>
      <w:pPr>
        <w:spacing w:before="156" w:after="156"/>
        <w:ind w:firstLine="420"/>
      </w:pPr>
      <w:r>
        <w:rPr>
          <w:rFonts w:hint="eastAsia"/>
        </w:rPr>
        <w:t>各类金融机构总部各部门或分支机构以及业务和管理团队都可以申报“天弈奖”。申报单位需要在过去12个月之内未遭受与所申报奖项相关领域的监管处罚。</w:t>
      </w:r>
    </w:p>
    <w:p>
      <w:pPr>
        <w:pStyle w:val="3"/>
        <w:spacing w:before="156" w:after="156"/>
      </w:pPr>
      <w:r>
        <w:rPr>
          <w:rFonts w:hint="eastAsia"/>
        </w:rPr>
        <w:t xml:space="preserve"> </w:t>
      </w:r>
      <w:r>
        <w:t xml:space="preserve">   </w:t>
      </w:r>
      <w:r>
        <w:rPr>
          <w:rFonts w:hint="eastAsia"/>
        </w:rPr>
        <w:t>三、评奖专家委员会组成</w:t>
      </w:r>
    </w:p>
    <w:p>
      <w:pPr>
        <w:spacing w:before="156" w:after="156"/>
        <w:ind w:firstLine="420"/>
      </w:pPr>
      <w:r>
        <w:rPr>
          <w:rFonts w:hint="eastAsia"/>
        </w:rPr>
        <w:t>为了保障“天弈奖”评选的中立性、专业性和高质量，每届评奖根据申报主题范围从天弈全球专家研讨交流平台（TGES）邀请已退休或转入大学及科研机构工作的国内外资深专家组成该年度“天弈奖”评奖专家委员会。每届评奖专家委员会在获奖榜单揭晓后一并发布在天弈官网上。</w:t>
      </w:r>
    </w:p>
    <w:p>
      <w:pPr>
        <w:pStyle w:val="3"/>
        <w:spacing w:before="156" w:after="156"/>
      </w:pPr>
      <w:r>
        <w:rPr>
          <w:rFonts w:hint="eastAsia"/>
        </w:rPr>
        <w:t xml:space="preserve"> </w:t>
      </w:r>
      <w:r>
        <w:t xml:space="preserve">   </w:t>
      </w:r>
      <w:r>
        <w:rPr>
          <w:rFonts w:hint="eastAsia"/>
        </w:rPr>
        <w:t>四、奖项设置</w:t>
      </w:r>
    </w:p>
    <w:p>
      <w:pPr>
        <w:spacing w:before="156" w:after="0" w:afterLines="0"/>
        <w:ind w:firstLine="422"/>
      </w:pPr>
      <w:r>
        <w:rPr>
          <w:rFonts w:hint="eastAsia"/>
          <w:b/>
          <w:bCs/>
        </w:rPr>
        <w:t>天弈奖分业务实践和管理实践两大类设置若干奖项，每个奖项设置</w:t>
      </w:r>
      <w:r>
        <w:rPr>
          <w:b/>
          <w:bCs/>
        </w:rPr>
        <w:t>5</w:t>
      </w:r>
      <w:r>
        <w:rPr>
          <w:rFonts w:hint="eastAsia"/>
          <w:b/>
          <w:bCs/>
        </w:rPr>
        <w:t>个左右获奖名额。</w:t>
      </w:r>
      <w:r>
        <w:rPr>
          <w:rFonts w:hint="eastAsia"/>
        </w:rPr>
        <w:t>奖项设置根据金融行业风险管理发展需要和具体申报情况动态调整，奖项设置和评选原则是坚持获奖项目或实践做法具有先进性、创新性、挑战性和代表性，宁缺毋滥，并有利于反映和推广金融行业风险管理前沿实践。</w:t>
      </w:r>
    </w:p>
    <w:p>
      <w:pPr>
        <w:spacing w:before="156" w:after="0" w:afterLines="0"/>
        <w:ind w:firstLine="420"/>
      </w:pPr>
    </w:p>
    <w:p>
      <w:pPr>
        <w:spacing w:before="78" w:beforeLines="25" w:after="234" w:afterLines="75" w:line="240" w:lineRule="auto"/>
        <w:ind w:firstLine="0" w:firstLineChars="0"/>
        <w:jc w:val="center"/>
        <w:rPr>
          <w:b/>
          <w:bCs/>
          <w:sz w:val="24"/>
          <w:szCs w:val="28"/>
        </w:rPr>
      </w:pPr>
      <w:r>
        <w:rPr>
          <w:rFonts w:hint="eastAsia"/>
          <w:b/>
          <w:bCs/>
          <w:sz w:val="24"/>
          <w:szCs w:val="28"/>
        </w:rPr>
        <w:t>2</w:t>
      </w:r>
      <w:r>
        <w:rPr>
          <w:b/>
          <w:bCs/>
          <w:sz w:val="24"/>
          <w:szCs w:val="28"/>
        </w:rPr>
        <w:t>023</w:t>
      </w:r>
      <w:r>
        <w:rPr>
          <w:rFonts w:hint="eastAsia"/>
          <w:b/>
          <w:bCs/>
          <w:sz w:val="24"/>
          <w:szCs w:val="28"/>
        </w:rPr>
        <w:t>年度“天弈奖”奖项设置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before="78" w:beforeLines="25" w:after="0" w:afterLines="0" w:line="240" w:lineRule="auto"/>
              <w:ind w:firstLine="0" w:firstLineChars="0"/>
              <w:jc w:val="center"/>
              <w:rPr>
                <w:b/>
                <w:bCs/>
              </w:rPr>
            </w:pPr>
            <w:r>
              <w:rPr>
                <w:rFonts w:hint="eastAsia"/>
                <w:b/>
                <w:bCs/>
              </w:rPr>
              <w:t>（一）业务实践类：</w:t>
            </w:r>
          </w:p>
          <w:p>
            <w:pPr>
              <w:spacing w:before="78" w:beforeLines="25" w:after="78" w:afterLines="25" w:line="240" w:lineRule="auto"/>
              <w:ind w:firstLine="0" w:firstLineChars="0"/>
              <w:jc w:val="center"/>
              <w:rPr>
                <w:b/>
                <w:bCs/>
              </w:rPr>
            </w:pPr>
            <w:r>
              <w:rPr>
                <w:rFonts w:hint="eastAsia"/>
                <w:b/>
                <w:bCs/>
              </w:rPr>
              <w:t>业务风险经营管理优秀实践奖</w:t>
            </w:r>
          </w:p>
        </w:tc>
        <w:tc>
          <w:tcPr>
            <w:tcW w:w="4148" w:type="dxa"/>
          </w:tcPr>
          <w:p>
            <w:pPr>
              <w:spacing w:before="78" w:beforeLines="25" w:after="0" w:afterLines="0" w:line="240" w:lineRule="auto"/>
              <w:ind w:firstLine="0" w:firstLineChars="0"/>
              <w:jc w:val="center"/>
              <w:rPr>
                <w:b/>
                <w:bCs/>
              </w:rPr>
            </w:pPr>
            <w:r>
              <w:rPr>
                <w:rFonts w:hint="eastAsia"/>
                <w:b/>
                <w:bCs/>
              </w:rPr>
              <w:t>（二）专题管理实践类：</w:t>
            </w:r>
          </w:p>
          <w:p>
            <w:pPr>
              <w:spacing w:before="78" w:beforeLines="25" w:after="78" w:afterLines="25" w:line="240" w:lineRule="auto"/>
              <w:ind w:leftChars="-6" w:hanging="13" w:hangingChars="6"/>
              <w:jc w:val="center"/>
              <w:rPr>
                <w:b/>
                <w:bCs/>
              </w:rPr>
            </w:pPr>
            <w:r>
              <w:rPr>
                <w:rFonts w:hint="eastAsia"/>
                <w:b/>
                <w:bCs/>
              </w:rPr>
              <w:t>专题管理优秀实践奖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before="156" w:after="156" w:line="276" w:lineRule="auto"/>
              <w:ind w:firstLine="420"/>
            </w:pPr>
            <w:r>
              <w:rPr>
                <w:rFonts w:hint="eastAsia"/>
              </w:rPr>
              <w:t>本类奖项旨在反映前台业务部门在业务发展以及服务客户的过程中对自身的风险承担进行有效识别和管理，对客户风险进行有效分担和管理辅导支持的前沿领先实践。不仅倡导前台业务部门应用现代风险管理理论和方法加强自身风险管理，也倡导将金融机构领先的现代风险理念和方法以及信息作为有效金融供给的重要形式提供给和服务于实体经济各部门。</w:t>
            </w:r>
          </w:p>
        </w:tc>
        <w:tc>
          <w:tcPr>
            <w:tcW w:w="4148" w:type="dxa"/>
            <w:vAlign w:val="center"/>
          </w:tcPr>
          <w:p>
            <w:pPr>
              <w:spacing w:before="156" w:after="156" w:line="276" w:lineRule="auto"/>
              <w:ind w:firstLine="420"/>
            </w:pPr>
            <w:r>
              <w:rPr>
                <w:rFonts w:hint="eastAsia"/>
              </w:rPr>
              <w:t>本类奖项旨在反映金融管理实践中的前沿理念和优秀的做法，包括中后台在风险管理实践中的各种的制度、流程、方法、科技应用等方面的前沿的探索和领先的实践。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before="156" w:after="156" w:line="240" w:lineRule="auto"/>
              <w:ind w:firstLine="0" w:firstLineChars="0"/>
            </w:pPr>
            <w:r>
              <w:rPr>
                <w:rFonts w:hint="eastAsia"/>
              </w:rPr>
              <w:t>业务实践类奖项名称以“业务条线名称+风险经营管理优秀实践奖”命名，包括但不限于：</w:t>
            </w:r>
          </w:p>
          <w:p>
            <w:pPr>
              <w:pStyle w:val="63"/>
              <w:numPr>
                <w:ilvl w:val="0"/>
                <w:numId w:val="1"/>
              </w:numPr>
              <w:spacing w:before="156" w:after="156" w:line="240" w:lineRule="auto"/>
              <w:ind w:left="600" w:hanging="600" w:firstLineChars="0"/>
            </w:pPr>
            <w:r>
              <w:rPr>
                <w:rFonts w:hint="eastAsia"/>
              </w:rPr>
              <w:t>公司金融业务</w:t>
            </w:r>
          </w:p>
          <w:p>
            <w:pPr>
              <w:pStyle w:val="63"/>
              <w:numPr>
                <w:ilvl w:val="0"/>
                <w:numId w:val="1"/>
              </w:numPr>
              <w:spacing w:before="156" w:after="156" w:line="240" w:lineRule="auto"/>
              <w:ind w:left="600" w:hanging="600" w:firstLineChars="0"/>
            </w:pPr>
            <w:r>
              <w:rPr>
                <w:rFonts w:hint="eastAsia"/>
              </w:rPr>
              <w:t>零售和消费金融业务</w:t>
            </w:r>
          </w:p>
          <w:p>
            <w:pPr>
              <w:pStyle w:val="63"/>
              <w:numPr>
                <w:ilvl w:val="0"/>
                <w:numId w:val="1"/>
              </w:numPr>
              <w:spacing w:before="156" w:after="156" w:line="240" w:lineRule="auto"/>
              <w:ind w:left="600" w:hanging="600" w:firstLineChars="0"/>
            </w:pPr>
            <w:r>
              <w:rPr>
                <w:rFonts w:hint="eastAsia"/>
              </w:rPr>
              <w:t>小微和普惠金融业务</w:t>
            </w:r>
          </w:p>
          <w:p>
            <w:pPr>
              <w:pStyle w:val="63"/>
              <w:numPr>
                <w:ilvl w:val="0"/>
                <w:numId w:val="1"/>
              </w:numPr>
              <w:spacing w:before="156" w:after="156" w:line="240" w:lineRule="auto"/>
              <w:ind w:left="600" w:hanging="600" w:firstLineChars="0"/>
            </w:pPr>
            <w:r>
              <w:rPr>
                <w:rFonts w:hint="eastAsia"/>
              </w:rPr>
              <w:t>金融市场业务（FICC）</w:t>
            </w:r>
          </w:p>
          <w:p>
            <w:pPr>
              <w:pStyle w:val="63"/>
              <w:numPr>
                <w:ilvl w:val="0"/>
                <w:numId w:val="1"/>
              </w:numPr>
              <w:spacing w:before="156" w:after="156" w:line="240" w:lineRule="auto"/>
              <w:ind w:left="600" w:hanging="600" w:firstLineChars="0"/>
            </w:pPr>
            <w:r>
              <w:rPr>
                <w:rFonts w:hint="eastAsia"/>
              </w:rPr>
              <w:t>证券投资业务</w:t>
            </w:r>
          </w:p>
          <w:p>
            <w:pPr>
              <w:pStyle w:val="63"/>
              <w:numPr>
                <w:ilvl w:val="0"/>
                <w:numId w:val="1"/>
              </w:numPr>
              <w:spacing w:before="156" w:after="156" w:line="240" w:lineRule="auto"/>
              <w:ind w:left="600" w:hanging="600" w:firstLineChars="0"/>
            </w:pPr>
            <w:r>
              <w:rPr>
                <w:rFonts w:hint="eastAsia"/>
              </w:rPr>
              <w:t>资产管理和财富管理业务</w:t>
            </w:r>
          </w:p>
          <w:p>
            <w:pPr>
              <w:pStyle w:val="63"/>
              <w:numPr>
                <w:ilvl w:val="0"/>
                <w:numId w:val="1"/>
              </w:numPr>
              <w:spacing w:before="156" w:after="156" w:line="240" w:lineRule="auto"/>
              <w:ind w:left="600" w:hanging="600" w:firstLineChars="0"/>
            </w:pPr>
            <w:r>
              <w:rPr>
                <w:rFonts w:hint="eastAsia"/>
              </w:rPr>
              <w:t>不良资产业务</w:t>
            </w:r>
          </w:p>
          <w:p>
            <w:pPr>
              <w:pStyle w:val="63"/>
              <w:numPr>
                <w:ilvl w:val="0"/>
                <w:numId w:val="1"/>
              </w:numPr>
              <w:spacing w:before="156" w:after="156" w:line="240" w:lineRule="auto"/>
              <w:ind w:left="600" w:hanging="600" w:firstLineChars="0"/>
            </w:pPr>
            <w:r>
              <w:rPr>
                <w:rFonts w:hint="eastAsia"/>
              </w:rPr>
              <w:t>投资银行业务</w:t>
            </w:r>
          </w:p>
          <w:p>
            <w:pPr>
              <w:pStyle w:val="63"/>
              <w:numPr>
                <w:ilvl w:val="0"/>
                <w:numId w:val="1"/>
              </w:numPr>
              <w:spacing w:before="156" w:after="156" w:line="240" w:lineRule="auto"/>
              <w:ind w:left="600" w:hanging="600" w:firstLineChars="0"/>
            </w:pPr>
            <w:r>
              <w:rPr>
                <w:rFonts w:hint="eastAsia"/>
              </w:rPr>
              <w:t>私募股权与另类投资业务</w:t>
            </w:r>
          </w:p>
          <w:p>
            <w:pPr>
              <w:pStyle w:val="63"/>
              <w:numPr>
                <w:ilvl w:val="0"/>
                <w:numId w:val="1"/>
              </w:numPr>
              <w:spacing w:before="156" w:after="156" w:line="240" w:lineRule="auto"/>
              <w:ind w:left="600" w:hanging="600" w:firstLineChars="0"/>
            </w:pPr>
            <w:r>
              <w:rPr>
                <w:rFonts w:hint="eastAsia"/>
              </w:rPr>
              <w:t>寿险健康险业务</w:t>
            </w:r>
          </w:p>
          <w:p>
            <w:pPr>
              <w:pStyle w:val="63"/>
              <w:numPr>
                <w:ilvl w:val="0"/>
                <w:numId w:val="1"/>
              </w:numPr>
              <w:spacing w:before="156" w:after="156" w:line="240" w:lineRule="auto"/>
              <w:ind w:left="600" w:hanging="600" w:firstLineChars="0"/>
            </w:pPr>
            <w:r>
              <w:rPr>
                <w:rFonts w:hint="eastAsia"/>
              </w:rPr>
              <w:t>财产险业务</w:t>
            </w:r>
          </w:p>
          <w:p>
            <w:pPr>
              <w:pStyle w:val="63"/>
              <w:numPr>
                <w:ilvl w:val="0"/>
                <w:numId w:val="1"/>
              </w:numPr>
              <w:spacing w:before="156" w:after="156" w:line="240" w:lineRule="auto"/>
              <w:ind w:left="600" w:hanging="600" w:firstLineChars="0"/>
            </w:pPr>
            <w:r>
              <w:rPr>
                <w:rFonts w:hint="eastAsia"/>
              </w:rPr>
              <w:t>电子银行和线上银行业务</w:t>
            </w:r>
          </w:p>
          <w:p>
            <w:pPr>
              <w:pStyle w:val="63"/>
              <w:numPr>
                <w:ilvl w:val="0"/>
                <w:numId w:val="1"/>
              </w:numPr>
              <w:spacing w:before="156" w:after="156" w:line="240" w:lineRule="auto"/>
              <w:ind w:left="600" w:hanging="600" w:firstLineChars="0"/>
            </w:pPr>
            <w:r>
              <w:rPr>
                <w:rFonts w:hint="eastAsia"/>
              </w:rPr>
              <w:t>金融租赁业务</w:t>
            </w:r>
          </w:p>
          <w:p>
            <w:pPr>
              <w:pStyle w:val="63"/>
              <w:numPr>
                <w:ilvl w:val="0"/>
                <w:numId w:val="1"/>
              </w:numPr>
              <w:spacing w:before="156" w:after="156" w:line="240" w:lineRule="auto"/>
              <w:ind w:left="600" w:hanging="600" w:firstLineChars="0"/>
            </w:pPr>
            <w:r>
              <w:rPr>
                <w:rFonts w:hint="eastAsia"/>
              </w:rPr>
              <w:t>支付和结算业务</w:t>
            </w:r>
          </w:p>
          <w:p>
            <w:pPr>
              <w:pStyle w:val="63"/>
              <w:numPr>
                <w:ilvl w:val="0"/>
                <w:numId w:val="1"/>
              </w:numPr>
              <w:spacing w:before="156" w:after="156" w:line="240" w:lineRule="auto"/>
              <w:ind w:left="600" w:hanging="600" w:firstLineChars="0"/>
            </w:pPr>
            <w:r>
              <w:rPr>
                <w:rFonts w:hint="eastAsia"/>
              </w:rPr>
              <w:t>其它（_</w:t>
            </w:r>
            <w:r>
              <w:t>_____________</w:t>
            </w:r>
            <w:r>
              <w:rPr>
                <w:rFonts w:hint="eastAsia"/>
              </w:rPr>
              <w:t>）</w:t>
            </w:r>
          </w:p>
          <w:p>
            <w:pPr>
              <w:spacing w:before="156" w:after="156" w:line="240" w:lineRule="auto"/>
              <w:ind w:firstLine="0" w:firstLineChars="0"/>
            </w:pPr>
          </w:p>
          <w:p>
            <w:pPr>
              <w:spacing w:before="156" w:after="156" w:line="240" w:lineRule="auto"/>
              <w:ind w:firstLine="0" w:firstLineChars="0"/>
            </w:pPr>
          </w:p>
        </w:tc>
        <w:tc>
          <w:tcPr>
            <w:tcW w:w="4148" w:type="dxa"/>
          </w:tcPr>
          <w:p>
            <w:pPr>
              <w:spacing w:before="156" w:after="156" w:line="240" w:lineRule="auto"/>
              <w:ind w:firstLine="0" w:firstLineChars="0"/>
            </w:pPr>
            <w:r>
              <w:rPr>
                <w:rFonts w:hint="eastAsia"/>
              </w:rPr>
              <w:t>管理实践类奖项名称按“以下管理主题关键词+优秀实践奖”命名，包括但不限于：</w:t>
            </w:r>
          </w:p>
          <w:p>
            <w:pPr>
              <w:pStyle w:val="63"/>
              <w:numPr>
                <w:ilvl w:val="0"/>
                <w:numId w:val="2"/>
              </w:numPr>
              <w:spacing w:before="156" w:after="156" w:line="240" w:lineRule="auto"/>
              <w:ind w:left="554" w:hanging="554" w:firstLineChars="0"/>
            </w:pPr>
            <w:r>
              <w:rPr>
                <w:rFonts w:hint="eastAsia"/>
              </w:rPr>
              <w:t>风险治理和文化体系建设</w:t>
            </w:r>
          </w:p>
          <w:p>
            <w:pPr>
              <w:pStyle w:val="63"/>
              <w:numPr>
                <w:ilvl w:val="0"/>
                <w:numId w:val="2"/>
              </w:numPr>
              <w:spacing w:before="156" w:after="156" w:line="240" w:lineRule="auto"/>
              <w:ind w:left="554" w:hanging="554" w:firstLineChars="0"/>
            </w:pPr>
            <w:r>
              <w:rPr>
                <w:rFonts w:hint="eastAsia"/>
              </w:rPr>
              <w:t>风险战略和偏好管理</w:t>
            </w:r>
          </w:p>
          <w:p>
            <w:pPr>
              <w:pStyle w:val="63"/>
              <w:numPr>
                <w:ilvl w:val="0"/>
                <w:numId w:val="2"/>
              </w:numPr>
              <w:spacing w:before="156" w:after="156" w:line="240" w:lineRule="auto"/>
              <w:ind w:left="554" w:hanging="554" w:firstLineChars="0"/>
            </w:pPr>
            <w:r>
              <w:rPr>
                <w:rFonts w:hint="eastAsia"/>
              </w:rPr>
              <w:t>信用风险管理</w:t>
            </w:r>
          </w:p>
          <w:p>
            <w:pPr>
              <w:pStyle w:val="63"/>
              <w:numPr>
                <w:ilvl w:val="0"/>
                <w:numId w:val="2"/>
              </w:numPr>
              <w:spacing w:before="156" w:after="156" w:line="240" w:lineRule="auto"/>
              <w:ind w:left="554" w:hanging="554" w:firstLineChars="0"/>
            </w:pPr>
            <w:r>
              <w:rPr>
                <w:rFonts w:hint="eastAsia"/>
              </w:rPr>
              <w:t>市场风险管理</w:t>
            </w:r>
          </w:p>
          <w:p>
            <w:pPr>
              <w:pStyle w:val="63"/>
              <w:numPr>
                <w:ilvl w:val="0"/>
                <w:numId w:val="2"/>
              </w:numPr>
              <w:spacing w:before="156" w:after="156" w:line="240" w:lineRule="auto"/>
              <w:ind w:left="554" w:hanging="554" w:firstLineChars="0"/>
            </w:pPr>
            <w:r>
              <w:rPr>
                <w:rFonts w:hint="eastAsia"/>
              </w:rPr>
              <w:t>操作风险管理</w:t>
            </w:r>
          </w:p>
          <w:p>
            <w:pPr>
              <w:pStyle w:val="63"/>
              <w:numPr>
                <w:ilvl w:val="0"/>
                <w:numId w:val="2"/>
              </w:numPr>
              <w:spacing w:before="156" w:after="156" w:line="240" w:lineRule="auto"/>
              <w:ind w:left="554" w:hanging="554" w:firstLineChars="0"/>
            </w:pPr>
            <w:r>
              <w:rPr>
                <w:rFonts w:hint="eastAsia"/>
              </w:rPr>
              <w:t>资产负债和流动性风险管理</w:t>
            </w:r>
          </w:p>
          <w:p>
            <w:pPr>
              <w:pStyle w:val="63"/>
              <w:numPr>
                <w:ilvl w:val="0"/>
                <w:numId w:val="2"/>
              </w:numPr>
              <w:spacing w:before="156" w:after="156" w:line="240" w:lineRule="auto"/>
              <w:ind w:left="554" w:hanging="554" w:firstLineChars="0"/>
            </w:pPr>
            <w:r>
              <w:rPr>
                <w:rFonts w:hint="eastAsia"/>
              </w:rPr>
              <w:t>金融科技风险管理</w:t>
            </w:r>
          </w:p>
          <w:p>
            <w:pPr>
              <w:pStyle w:val="63"/>
              <w:numPr>
                <w:ilvl w:val="0"/>
                <w:numId w:val="2"/>
              </w:numPr>
              <w:spacing w:before="156" w:after="156" w:line="240" w:lineRule="auto"/>
              <w:ind w:left="554" w:hanging="554" w:firstLineChars="0"/>
            </w:pPr>
            <w:r>
              <w:rPr>
                <w:rFonts w:hint="eastAsia"/>
              </w:rPr>
              <w:t>数据管理与数字化转型</w:t>
            </w:r>
          </w:p>
          <w:p>
            <w:pPr>
              <w:pStyle w:val="63"/>
              <w:numPr>
                <w:ilvl w:val="0"/>
                <w:numId w:val="2"/>
              </w:numPr>
              <w:spacing w:before="156" w:after="156" w:line="240" w:lineRule="auto"/>
              <w:ind w:left="554" w:hanging="554" w:firstLineChars="0"/>
            </w:pPr>
            <w:r>
              <w:rPr>
                <w:rFonts w:hint="eastAsia"/>
              </w:rPr>
              <w:t>金融模型能力建设和智能风控</w:t>
            </w:r>
          </w:p>
          <w:p>
            <w:pPr>
              <w:pStyle w:val="63"/>
              <w:numPr>
                <w:ilvl w:val="0"/>
                <w:numId w:val="2"/>
              </w:numPr>
              <w:spacing w:before="156" w:after="156" w:line="240" w:lineRule="auto"/>
              <w:ind w:left="554" w:hanging="554" w:firstLineChars="0"/>
            </w:pPr>
            <w:r>
              <w:rPr>
                <w:rFonts w:hint="eastAsia"/>
              </w:rPr>
              <w:t>内控与合规管理（反洗钱）</w:t>
            </w:r>
          </w:p>
          <w:p>
            <w:pPr>
              <w:pStyle w:val="63"/>
              <w:numPr>
                <w:ilvl w:val="0"/>
                <w:numId w:val="2"/>
              </w:numPr>
              <w:spacing w:before="156" w:after="156" w:line="240" w:lineRule="auto"/>
              <w:ind w:left="554" w:hanging="554" w:firstLineChars="0"/>
            </w:pPr>
            <w:r>
              <w:rPr>
                <w:rFonts w:hint="eastAsia"/>
              </w:rPr>
              <w:t>审计与第三道风险防线</w:t>
            </w:r>
          </w:p>
          <w:p>
            <w:pPr>
              <w:pStyle w:val="63"/>
              <w:numPr>
                <w:ilvl w:val="0"/>
                <w:numId w:val="2"/>
              </w:numPr>
              <w:spacing w:before="156" w:after="156" w:line="240" w:lineRule="auto"/>
              <w:ind w:left="554" w:hanging="554" w:firstLineChars="0"/>
            </w:pPr>
            <w:r>
              <w:rPr>
                <w:rFonts w:hint="eastAsia"/>
              </w:rPr>
              <w:t>压力测试</w:t>
            </w:r>
          </w:p>
          <w:p>
            <w:pPr>
              <w:pStyle w:val="63"/>
              <w:numPr>
                <w:ilvl w:val="0"/>
                <w:numId w:val="2"/>
              </w:numPr>
              <w:spacing w:before="156" w:after="156" w:line="240" w:lineRule="auto"/>
              <w:ind w:left="554" w:hanging="554" w:firstLineChars="0"/>
            </w:pPr>
            <w:r>
              <w:rPr>
                <w:rFonts w:hint="eastAsia"/>
              </w:rPr>
              <w:t>资本和偿付能力管理</w:t>
            </w:r>
          </w:p>
          <w:p>
            <w:pPr>
              <w:pStyle w:val="63"/>
              <w:numPr>
                <w:ilvl w:val="0"/>
                <w:numId w:val="2"/>
              </w:numPr>
              <w:spacing w:before="156" w:after="156" w:line="240" w:lineRule="auto"/>
              <w:ind w:left="554" w:hanging="554" w:firstLineChars="0"/>
            </w:pPr>
            <w:r>
              <w:rPr>
                <w:rFonts w:hint="eastAsia"/>
              </w:rPr>
              <w:t>ESG风险管理</w:t>
            </w:r>
          </w:p>
          <w:p>
            <w:pPr>
              <w:pStyle w:val="63"/>
              <w:numPr>
                <w:ilvl w:val="0"/>
                <w:numId w:val="2"/>
              </w:numPr>
              <w:spacing w:before="156" w:after="156" w:line="240" w:lineRule="auto"/>
              <w:ind w:left="554" w:hanging="554" w:firstLineChars="0"/>
            </w:pPr>
            <w:r>
              <w:rPr>
                <w:rFonts w:hint="eastAsia"/>
              </w:rPr>
              <w:t>全面风险管理</w:t>
            </w:r>
          </w:p>
          <w:p>
            <w:pPr>
              <w:pStyle w:val="63"/>
              <w:numPr>
                <w:ilvl w:val="0"/>
                <w:numId w:val="2"/>
              </w:numPr>
              <w:spacing w:before="156" w:after="156" w:line="240" w:lineRule="auto"/>
              <w:ind w:left="554" w:hanging="554" w:firstLineChars="0"/>
            </w:pPr>
            <w:r>
              <w:rPr>
                <w:rFonts w:hint="eastAsia"/>
              </w:rPr>
              <w:t>商业银行分支机构风险经营管理</w:t>
            </w:r>
          </w:p>
          <w:p>
            <w:pPr>
              <w:pStyle w:val="63"/>
              <w:numPr>
                <w:ilvl w:val="0"/>
                <w:numId w:val="2"/>
              </w:numPr>
              <w:spacing w:before="156" w:after="156" w:line="240" w:lineRule="auto"/>
              <w:ind w:left="554" w:hanging="554" w:firstLineChars="0"/>
            </w:pPr>
            <w:r>
              <w:rPr>
                <w:rFonts w:hint="eastAsia"/>
              </w:rPr>
              <w:t>风险管理团队建设</w:t>
            </w:r>
          </w:p>
          <w:p>
            <w:pPr>
              <w:pStyle w:val="63"/>
              <w:numPr>
                <w:ilvl w:val="0"/>
                <w:numId w:val="2"/>
              </w:numPr>
              <w:spacing w:before="156" w:after="156" w:line="240" w:lineRule="auto"/>
              <w:ind w:left="554" w:hanging="554" w:firstLineChars="0"/>
            </w:pPr>
            <w:r>
              <w:rPr>
                <w:rFonts w:hint="eastAsia"/>
              </w:rPr>
              <w:t>其它（_</w:t>
            </w:r>
            <w:r>
              <w:t>_____________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spacing w:before="156" w:after="156" w:line="240" w:lineRule="auto"/>
              <w:ind w:firstLine="0" w:firstLineChars="0"/>
            </w:pPr>
            <w:r>
              <w:rPr>
                <w:rFonts w:hint="eastAsia"/>
                <w:b/>
                <w:bCs/>
              </w:rPr>
              <w:t>说明：</w:t>
            </w:r>
            <w:r>
              <w:rPr>
                <w:rFonts w:hint="eastAsia"/>
              </w:rPr>
              <w:t>未在上述列表中体现的领域如果有单位愿意申报，请在“其它”项中填入业务或管理类型即可申报。</w:t>
            </w:r>
          </w:p>
        </w:tc>
      </w:tr>
    </w:tbl>
    <w:p>
      <w:pPr>
        <w:pStyle w:val="3"/>
        <w:spacing w:before="156" w:after="156"/>
        <w:rPr>
          <w:b w:val="0"/>
          <w:bCs w:val="0"/>
        </w:rPr>
      </w:pPr>
      <w:r>
        <w:rPr>
          <w:rFonts w:hint="eastAsia"/>
        </w:rPr>
        <w:t xml:space="preserve"> </w:t>
      </w:r>
      <w:r>
        <w:t xml:space="preserve">   </w:t>
      </w:r>
      <w:r>
        <w:rPr>
          <w:rFonts w:hint="eastAsia"/>
        </w:rPr>
        <w:t>五、申报和评奖流程</w:t>
      </w:r>
    </w:p>
    <w:p>
      <w:pPr>
        <w:spacing w:before="156" w:after="156"/>
        <w:ind w:firstLine="422"/>
        <w:rPr>
          <w:b/>
          <w:bCs/>
        </w:rPr>
      </w:pPr>
      <w:r>
        <w:rPr>
          <w:rFonts w:hint="eastAsia"/>
          <w:b/>
          <w:bCs/>
        </w:rPr>
        <w:t>第一步：TGES平台专家推荐或自荐，并向“天弈奖”评奖秘书处提交申报表（2023年9月20日截止）</w:t>
      </w:r>
    </w:p>
    <w:p>
      <w:pPr>
        <w:spacing w:before="156" w:after="156"/>
        <w:ind w:firstLine="422"/>
        <w:rPr>
          <w:b/>
          <w:bCs/>
        </w:rPr>
      </w:pPr>
      <w:r>
        <w:rPr>
          <w:rFonts w:hint="eastAsia"/>
          <w:b/>
          <w:bCs/>
        </w:rPr>
        <w:t>第二步</w:t>
      </w:r>
      <w:r>
        <w:rPr>
          <w:b/>
          <w:bCs/>
        </w:rPr>
        <w:t>:</w:t>
      </w:r>
      <w:r>
        <w:rPr>
          <w:rFonts w:hint="eastAsia"/>
          <w:b/>
          <w:bCs/>
        </w:rPr>
        <w:t>“天弈奖”评奖秘书处进行材料审核和专业初审（2023年9月22日前）</w:t>
      </w:r>
    </w:p>
    <w:p>
      <w:pPr>
        <w:spacing w:before="156" w:after="156"/>
        <w:ind w:firstLine="422"/>
        <w:rPr>
          <w:b/>
          <w:bCs/>
        </w:rPr>
      </w:pPr>
      <w:r>
        <w:rPr>
          <w:rFonts w:hint="eastAsia"/>
          <w:b/>
          <w:bCs/>
        </w:rPr>
        <w:t>第三步：“天弈奖”专家组组建、评奖与发布（在天弈网公示）（2023年9月25日前）</w:t>
      </w:r>
    </w:p>
    <w:p>
      <w:pPr>
        <w:spacing w:before="156" w:after="156"/>
        <w:ind w:firstLine="422"/>
        <w:rPr>
          <w:b/>
          <w:bCs/>
        </w:rPr>
      </w:pPr>
      <w:r>
        <w:rPr>
          <w:rFonts w:hint="eastAsia"/>
          <w:b/>
          <w:bCs/>
        </w:rPr>
        <w:t>第四步：沟通确认获奖优秀实践天弈2</w:t>
      </w:r>
      <w:r>
        <w:rPr>
          <w:b/>
          <w:bCs/>
        </w:rPr>
        <w:t>023</w:t>
      </w:r>
      <w:r>
        <w:rPr>
          <w:rFonts w:hint="eastAsia"/>
          <w:b/>
          <w:bCs/>
        </w:rPr>
        <w:t>年会交流方案（2023年10月10日前）</w:t>
      </w:r>
    </w:p>
    <w:p>
      <w:pPr>
        <w:spacing w:before="156" w:after="156"/>
        <w:ind w:firstLine="422"/>
        <w:rPr>
          <w:b/>
          <w:bCs/>
        </w:rPr>
      </w:pPr>
      <w:r>
        <w:rPr>
          <w:rFonts w:hint="eastAsia"/>
          <w:b/>
          <w:bCs/>
        </w:rPr>
        <w:t>第五步：线下颁奖和优秀实践分享交流（天弈T</w:t>
      </w:r>
      <w:r>
        <w:rPr>
          <w:b/>
          <w:bCs/>
        </w:rPr>
        <w:t xml:space="preserve">GES </w:t>
      </w:r>
      <w:r>
        <w:rPr>
          <w:rFonts w:hint="eastAsia"/>
          <w:b/>
          <w:bCs/>
        </w:rPr>
        <w:t>2023年会暨第十九届中国金融风险经理论坛，11月10-12日，北京）</w:t>
      </w:r>
    </w:p>
    <w:p>
      <w:pPr>
        <w:spacing w:before="156" w:after="156"/>
        <w:ind w:firstLine="422"/>
        <w:rPr>
          <w:b/>
          <w:bCs/>
        </w:rPr>
      </w:pPr>
      <w:r>
        <w:rPr>
          <w:rFonts w:hint="eastAsia"/>
          <w:b/>
          <w:bCs/>
        </w:rPr>
        <w:t>第六步：“天弈奖”获奖优秀实践宣传展示和持续交流（2023年11月—</w:t>
      </w:r>
      <w:r>
        <w:rPr>
          <w:b/>
          <w:bCs/>
        </w:rPr>
        <w:t>2</w:t>
      </w:r>
      <w:r>
        <w:rPr>
          <w:rFonts w:hint="eastAsia"/>
          <w:b/>
          <w:bCs/>
        </w:rPr>
        <w:t>024年10月）</w:t>
      </w:r>
    </w:p>
    <w:p>
      <w:pPr>
        <w:pStyle w:val="3"/>
        <w:spacing w:before="156" w:after="156"/>
      </w:pPr>
      <w:r>
        <w:rPr>
          <w:rFonts w:hint="eastAsia"/>
        </w:rPr>
        <w:t xml:space="preserve"> </w:t>
      </w:r>
      <w:r>
        <w:t xml:space="preserve">   </w:t>
      </w:r>
      <w:r>
        <w:rPr>
          <w:rFonts w:hint="eastAsia"/>
        </w:rPr>
        <w:t>六、获奖成果宣传</w:t>
      </w:r>
    </w:p>
    <w:p>
      <w:pPr>
        <w:spacing w:before="156" w:after="156"/>
        <w:ind w:firstLine="420"/>
      </w:pPr>
      <w:r>
        <w:rPr>
          <w:rFonts w:hint="eastAsia"/>
        </w:rPr>
        <w:t>（一）通过天弈网站、各天弈新媒体平台宣传；</w:t>
      </w:r>
    </w:p>
    <w:p>
      <w:pPr>
        <w:spacing w:before="156" w:after="156"/>
        <w:ind w:left="991" w:leftChars="200" w:hanging="571" w:hangingChars="272"/>
      </w:pPr>
      <w:r>
        <w:rPr>
          <w:rFonts w:hint="eastAsia"/>
        </w:rPr>
        <w:t>（二）通过向专业媒体和杂志推荐获奖成果或出版获奖优先实践案例文集开展深度宣传和推广。推荐的专业媒体包括但不限于：《中国金融》《银行家杂志》《保险业风险观察》等。</w:t>
      </w:r>
    </w:p>
    <w:p>
      <w:pPr>
        <w:pStyle w:val="3"/>
        <w:spacing w:before="156" w:after="156"/>
      </w:pPr>
      <w:r>
        <w:rPr>
          <w:rFonts w:hint="eastAsia"/>
        </w:rPr>
        <w:t xml:space="preserve"> </w:t>
      </w:r>
      <w:r>
        <w:t xml:space="preserve">   </w:t>
      </w:r>
      <w:r>
        <w:rPr>
          <w:rFonts w:hint="eastAsia"/>
        </w:rPr>
        <w:t>七、“天弈奖”主办方简介</w:t>
      </w:r>
    </w:p>
    <w:p>
      <w:pPr>
        <w:spacing w:before="156" w:after="156"/>
        <w:ind w:firstLine="422"/>
        <w:rPr>
          <w:b/>
          <w:bCs/>
        </w:rPr>
      </w:pPr>
      <w:r>
        <w:rPr>
          <w:rFonts w:hint="eastAsia"/>
          <w:b/>
          <w:bCs/>
        </w:rPr>
        <w:t>（一）天弈全球专家研讨（T</w:t>
      </w:r>
      <w:r>
        <w:rPr>
          <w:b/>
          <w:bCs/>
        </w:rPr>
        <w:t>GES</w:t>
      </w:r>
      <w:r>
        <w:rPr>
          <w:rFonts w:hint="eastAsia"/>
          <w:b/>
          <w:bCs/>
        </w:rPr>
        <w:t>）平台：</w:t>
      </w:r>
    </w:p>
    <w:p>
      <w:pPr>
        <w:spacing w:before="156" w:after="156"/>
        <w:ind w:firstLine="420"/>
      </w:pPr>
      <w:r>
        <w:rPr>
          <w:rFonts w:hint="eastAsia"/>
        </w:rPr>
        <w:t>天弈TGES平台于2002年由陈忠阳教授和业界资深专家联合发起，由北京天弈方圆管理顾问有限公司组织运维，以推动现代金融风险管理在我国应用和发展为基本使命，通过整合国内外金融机构、大学科研机构、专业协会、咨询和IT公司等专业资源，促进现代风险管理理念、制度和技术在我国金融和企业界的传播、本土化实施和创新发展。</w:t>
      </w:r>
    </w:p>
    <w:p>
      <w:pPr>
        <w:spacing w:before="156" w:after="156"/>
        <w:ind w:firstLine="422"/>
        <w:rPr>
          <w:b/>
          <w:bCs/>
        </w:rPr>
      </w:pPr>
      <w:r>
        <w:rPr>
          <w:rFonts w:hint="eastAsia"/>
          <w:b/>
          <w:bCs/>
        </w:rPr>
        <w:t>（二）中国金融风险经理论坛：</w:t>
      </w:r>
    </w:p>
    <w:p>
      <w:pPr>
        <w:spacing w:before="156" w:after="156"/>
        <w:ind w:firstLine="420"/>
      </w:pPr>
      <w:r>
        <w:rPr>
          <w:rFonts w:hint="eastAsia"/>
        </w:rPr>
        <w:t>中国金融风险经理论坛（CFRMF）是天弈TGES平台一年一度的品牌性专业交流活动于2005年举办首届论坛，迄今已举办18届，累计邀请了3,000多位国内外资深专家发言分享观点，30,000多位业界人士参会交流。</w:t>
      </w:r>
    </w:p>
    <w:p>
      <w:pPr>
        <w:pStyle w:val="3"/>
        <w:spacing w:before="156" w:after="156"/>
        <w:rPr>
          <w:rFonts w:eastAsia="宋体" w:cstheme="minorBidi"/>
          <w:sz w:val="21"/>
          <w:szCs w:val="22"/>
        </w:rPr>
      </w:pPr>
      <w:r>
        <w:rPr>
          <w:rFonts w:hint="eastAsia"/>
        </w:rPr>
        <w:t xml:space="preserve"> </w:t>
      </w:r>
      <w:r>
        <w:t xml:space="preserve">   </w:t>
      </w:r>
      <w:r>
        <w:rPr>
          <w:rFonts w:hint="eastAsia"/>
        </w:rPr>
        <w:t>八、相关申明</w:t>
      </w:r>
    </w:p>
    <w:p>
      <w:pPr>
        <w:pStyle w:val="3"/>
        <w:spacing w:before="156" w:after="156"/>
        <w:rPr>
          <w:rFonts w:eastAsia="宋体" w:cstheme="minorBidi"/>
          <w:b w:val="0"/>
          <w:bCs w:val="0"/>
          <w:sz w:val="21"/>
          <w:szCs w:val="22"/>
        </w:rPr>
      </w:pPr>
      <w:r>
        <w:rPr>
          <w:rFonts w:hint="eastAsia" w:eastAsia="宋体" w:cstheme="minorBidi"/>
          <w:sz w:val="21"/>
          <w:szCs w:val="22"/>
        </w:rPr>
        <w:t xml:space="preserve"> </w:t>
      </w:r>
      <w:r>
        <w:rPr>
          <w:rFonts w:eastAsia="宋体" w:cstheme="minorBidi"/>
          <w:sz w:val="21"/>
          <w:szCs w:val="22"/>
        </w:rPr>
        <w:t xml:space="preserve">   </w:t>
      </w:r>
      <w:r>
        <w:rPr>
          <w:rFonts w:hint="eastAsia" w:eastAsia="宋体" w:cstheme="minorBidi"/>
          <w:sz w:val="21"/>
          <w:szCs w:val="22"/>
        </w:rPr>
        <w:t>（一）关于评奖费用</w:t>
      </w:r>
    </w:p>
    <w:p>
      <w:pPr>
        <w:spacing w:before="156" w:after="156"/>
        <w:ind w:firstLine="420"/>
        <w:rPr>
          <w:b/>
          <w:bCs/>
        </w:rPr>
      </w:pPr>
      <w:r>
        <w:rPr>
          <w:rFonts w:hint="eastAsia"/>
        </w:rPr>
        <w:t>为保障本奖的中立性和高质量，</w:t>
      </w:r>
      <w:r>
        <w:rPr>
          <w:rFonts w:hint="eastAsia"/>
          <w:b/>
          <w:bCs/>
        </w:rPr>
        <w:t>不向被评对象收取任何评奖费。</w:t>
      </w:r>
    </w:p>
    <w:p>
      <w:pPr>
        <w:pStyle w:val="3"/>
        <w:spacing w:before="156" w:after="156"/>
        <w:rPr>
          <w:rFonts w:eastAsia="宋体" w:cstheme="minorBidi"/>
          <w:sz w:val="21"/>
          <w:szCs w:val="22"/>
        </w:rPr>
      </w:pPr>
      <w:r>
        <w:rPr>
          <w:rFonts w:hint="eastAsia" w:eastAsia="宋体" w:cstheme="minorBidi"/>
          <w:sz w:val="21"/>
          <w:szCs w:val="22"/>
        </w:rPr>
        <w:t xml:space="preserve"> </w:t>
      </w:r>
      <w:r>
        <w:rPr>
          <w:rFonts w:eastAsia="宋体" w:cstheme="minorBidi"/>
          <w:sz w:val="21"/>
          <w:szCs w:val="22"/>
        </w:rPr>
        <w:t xml:space="preserve">   </w:t>
      </w:r>
      <w:r>
        <w:rPr>
          <w:rFonts w:hint="eastAsia" w:eastAsia="宋体" w:cstheme="minorBidi"/>
          <w:sz w:val="21"/>
          <w:szCs w:val="22"/>
        </w:rPr>
        <w:t>（二）关于获奖待遇</w:t>
      </w:r>
    </w:p>
    <w:p>
      <w:pPr>
        <w:spacing w:before="156" w:after="156"/>
        <w:ind w:firstLine="420"/>
      </w:pPr>
      <w:r>
        <w:rPr>
          <w:rFonts w:hint="eastAsia"/>
        </w:rPr>
        <w:t>1</w:t>
      </w:r>
      <w:r>
        <w:t xml:space="preserve">. </w:t>
      </w:r>
      <w:r>
        <w:rPr>
          <w:rFonts w:hint="eastAsia"/>
        </w:rPr>
        <w:t>获得免费的证书</w:t>
      </w:r>
      <w:bookmarkStart w:id="0" w:name="_GoBack"/>
      <w:bookmarkEnd w:id="0"/>
      <w:r>
        <w:rPr>
          <w:rFonts w:hint="eastAsia"/>
        </w:rPr>
        <w:t>。</w:t>
      </w:r>
    </w:p>
    <w:p>
      <w:pPr>
        <w:spacing w:before="156" w:after="156"/>
        <w:ind w:firstLine="420"/>
      </w:pPr>
      <w:r>
        <w:t xml:space="preserve">2. </w:t>
      </w:r>
      <w:r>
        <w:rPr>
          <w:rFonts w:hint="eastAsia"/>
        </w:rPr>
        <w:t>获奖单位可以免费参加天弈年度总论坛中和奖项对应主题的专题研讨会（限</w:t>
      </w:r>
      <w:r>
        <w:t>1</w:t>
      </w:r>
      <w:r>
        <w:rPr>
          <w:rFonts w:hint="eastAsia"/>
        </w:rPr>
        <w:t>人）。</w:t>
      </w:r>
    </w:p>
    <w:p>
      <w:pPr>
        <w:spacing w:before="156" w:after="156"/>
        <w:ind w:firstLine="420"/>
      </w:pPr>
      <w:r>
        <w:t xml:space="preserve">3. </w:t>
      </w:r>
      <w:r>
        <w:rPr>
          <w:rFonts w:hint="eastAsia"/>
        </w:rPr>
        <w:t>免费获得评奖组委会对获奖优秀实践的宣传推广，包括获奖案例免费推荐期刊杂志发表或收录到相关出版的图书。</w:t>
      </w:r>
    </w:p>
    <w:p>
      <w:pPr>
        <w:pStyle w:val="3"/>
        <w:spacing w:before="156" w:after="156"/>
        <w:rPr>
          <w:rFonts w:eastAsia="宋体" w:cstheme="minorBidi"/>
          <w:sz w:val="21"/>
          <w:szCs w:val="22"/>
        </w:rPr>
      </w:pPr>
      <w:r>
        <w:rPr>
          <w:rFonts w:hint="eastAsia" w:eastAsia="宋体" w:cstheme="minorBidi"/>
          <w:sz w:val="21"/>
          <w:szCs w:val="22"/>
        </w:rPr>
        <w:t xml:space="preserve"> </w:t>
      </w:r>
      <w:r>
        <w:rPr>
          <w:rFonts w:eastAsia="宋体" w:cstheme="minorBidi"/>
          <w:sz w:val="21"/>
          <w:szCs w:val="22"/>
        </w:rPr>
        <w:t xml:space="preserve">   </w:t>
      </w:r>
      <w:r>
        <w:rPr>
          <w:rFonts w:hint="eastAsia" w:eastAsia="宋体" w:cstheme="minorBidi"/>
          <w:sz w:val="21"/>
          <w:szCs w:val="22"/>
        </w:rPr>
        <w:t>（三）关于评奖对象及其意义</w:t>
      </w:r>
    </w:p>
    <w:p>
      <w:pPr>
        <w:spacing w:before="156" w:after="156"/>
        <w:ind w:firstLine="420"/>
        <w:rPr>
          <w:b/>
          <w:bCs/>
        </w:rPr>
      </w:pPr>
      <w:r>
        <w:rPr>
          <w:rFonts w:hint="eastAsia"/>
        </w:rPr>
        <w:t>风险管理工作具有其绩效反映不直接、不直观的特点。本奖主要以申报机构具体的风险管理实践做法为评奖对象，其评奖意义在于评估其领先性、创新性和挑战性，并不评估也不代表申报单位风险管理的有效性。</w:t>
      </w:r>
    </w:p>
    <w:p>
      <w:pPr>
        <w:pStyle w:val="3"/>
        <w:spacing w:before="156" w:after="156"/>
        <w:rPr>
          <w:rFonts w:eastAsia="宋体" w:cstheme="minorBidi"/>
          <w:b w:val="0"/>
          <w:bCs w:val="0"/>
          <w:sz w:val="21"/>
          <w:szCs w:val="22"/>
        </w:rPr>
      </w:pPr>
      <w:r>
        <w:rPr>
          <w:rFonts w:eastAsia="宋体" w:cstheme="minorBidi"/>
          <w:b w:val="0"/>
          <w:bCs w:val="0"/>
          <w:sz w:val="21"/>
          <w:szCs w:val="22"/>
        </w:rPr>
        <w:t xml:space="preserve">   </w:t>
      </w:r>
      <w:r>
        <w:rPr>
          <w:rFonts w:hint="eastAsia" w:eastAsia="宋体" w:cstheme="minorBidi"/>
          <w:sz w:val="21"/>
          <w:szCs w:val="22"/>
        </w:rPr>
        <w:t>（四）关于评奖依据及其真实性</w:t>
      </w:r>
    </w:p>
    <w:p>
      <w:pPr>
        <w:spacing w:before="156" w:after="156"/>
        <w:ind w:firstLine="420"/>
        <w:rPr>
          <w:b/>
          <w:bCs/>
        </w:rPr>
      </w:pPr>
      <w:r>
        <w:rPr>
          <w:rFonts w:hint="eastAsia"/>
        </w:rPr>
        <w:t>评奖以申请单位提供的优秀实践自我陈述为依据，真实性由申请者负责。如事后发现申报信息造假，将收回奖项，并在天弈网发布相关说明</w:t>
      </w:r>
      <w:r>
        <w:t>。</w:t>
      </w:r>
    </w:p>
    <w:p>
      <w:pPr>
        <w:pStyle w:val="3"/>
        <w:spacing w:before="156" w:after="156"/>
      </w:pPr>
      <w:r>
        <w:rPr>
          <w:rFonts w:hint="eastAsia"/>
        </w:rPr>
        <w:t xml:space="preserve"> </w:t>
      </w:r>
      <w:r>
        <w:t xml:space="preserve">   </w:t>
      </w:r>
      <w:r>
        <w:rPr>
          <w:rFonts w:hint="eastAsia"/>
        </w:rPr>
        <w:t>九、评奖工作组联络方式</w:t>
      </w:r>
    </w:p>
    <w:p>
      <w:pPr>
        <w:spacing w:before="156" w:after="156"/>
        <w:ind w:firstLine="420"/>
      </w:pPr>
      <w:r>
        <w:rPr>
          <w:rFonts w:hint="eastAsia"/>
        </w:rPr>
        <w:t>联系人：李新国</w:t>
      </w:r>
      <w:r>
        <w:t xml:space="preserve">  </w:t>
      </w:r>
      <w:r>
        <w:rPr>
          <w:rFonts w:hint="eastAsia"/>
        </w:rPr>
        <w:t>电话：0</w:t>
      </w:r>
      <w:r>
        <w:t xml:space="preserve">10-82563540  </w:t>
      </w:r>
      <w:r>
        <w:rPr>
          <w:rFonts w:hint="eastAsia"/>
        </w:rPr>
        <w:t>邮箱：</w:t>
      </w:r>
      <w:r>
        <w:t xml:space="preserve">forum@cfrisk.org    </w:t>
      </w:r>
      <w:r>
        <w:rPr>
          <w:rFonts w:hint="eastAsia"/>
        </w:rPr>
        <w:t>网站：w</w:t>
      </w:r>
      <w:r>
        <w:t>ww.cfrisk.org</w:t>
      </w:r>
    </w:p>
    <w:p>
      <w:pPr>
        <w:spacing w:before="156" w:after="156"/>
        <w:ind w:firstLine="482"/>
        <w:rPr>
          <w:rFonts w:eastAsia="黑体" w:cstheme="majorBidi"/>
          <w:b/>
          <w:bCs/>
          <w:sz w:val="24"/>
          <w:szCs w:val="32"/>
        </w:rPr>
      </w:pPr>
    </w:p>
    <w:p>
      <w:pPr>
        <w:spacing w:before="156" w:after="156"/>
        <w:ind w:firstLine="482"/>
        <w:rPr>
          <w:rFonts w:hint="eastAsia" w:eastAsia="黑体" w:cstheme="majorBidi"/>
          <w:b/>
          <w:bCs/>
          <w:sz w:val="24"/>
          <w:szCs w:val="32"/>
        </w:rPr>
      </w:pPr>
    </w:p>
    <w:p>
      <w:pPr>
        <w:spacing w:before="156" w:after="156"/>
        <w:ind w:firstLine="482"/>
        <w:rPr>
          <w:rFonts w:eastAsia="黑体" w:cstheme="majorBidi"/>
          <w:b/>
          <w:bCs/>
          <w:sz w:val="24"/>
          <w:szCs w:val="32"/>
        </w:rPr>
      </w:pPr>
      <w:r>
        <w:rPr>
          <w:rFonts w:hint="eastAsia" w:eastAsia="黑体" w:cstheme="majorBidi"/>
          <w:b/>
          <w:bCs/>
          <w:sz w:val="24"/>
          <w:szCs w:val="32"/>
        </w:rPr>
        <w:t>附件：《2023年度“天弈奖”申报与评审表》</w:t>
      </w:r>
      <w:r>
        <w:br w:type="page"/>
      </w:r>
    </w:p>
    <w:tbl>
      <w:tblPr>
        <w:tblStyle w:val="13"/>
        <w:tblW w:w="8926" w:type="dxa"/>
        <w:jc w:val="center"/>
        <w:tblLayout w:type="fixed"/>
        <w:tblCellMar>
          <w:top w:w="0" w:type="dxa"/>
          <w:left w:w="108" w:type="dxa"/>
          <w:bottom w:w="0" w:type="dxa"/>
          <w:right w:w="108" w:type="dxa"/>
        </w:tblCellMar>
      </w:tblPr>
      <w:tblGrid>
        <w:gridCol w:w="1838"/>
        <w:gridCol w:w="2557"/>
        <w:gridCol w:w="1842"/>
        <w:gridCol w:w="2689"/>
      </w:tblGrid>
      <w:tr>
        <w:tblPrEx>
          <w:tblCellMar>
            <w:top w:w="0" w:type="dxa"/>
            <w:left w:w="108" w:type="dxa"/>
            <w:bottom w:w="0" w:type="dxa"/>
            <w:right w:w="108" w:type="dxa"/>
          </w:tblCellMar>
        </w:tblPrEx>
        <w:trPr>
          <w:trHeight w:val="600" w:hRule="atLeast"/>
          <w:jc w:val="center"/>
        </w:trPr>
        <w:tc>
          <w:tcPr>
            <w:tcW w:w="8926" w:type="dxa"/>
            <w:gridSpan w:val="4"/>
            <w:tcBorders>
              <w:bottom w:val="single" w:color="auto" w:sz="4" w:space="0"/>
            </w:tcBorders>
            <w:shd w:val="clear" w:color="auto" w:fill="auto"/>
            <w:vAlign w:val="center"/>
          </w:tcPr>
          <w:p>
            <w:pPr>
              <w:spacing w:before="156" w:after="156" w:line="240" w:lineRule="auto"/>
              <w:ind w:firstLine="0" w:firstLineChars="0"/>
              <w:jc w:val="center"/>
              <w:rPr>
                <w:rFonts w:ascii="微软雅黑" w:hAnsi="微软雅黑" w:eastAsia="微软雅黑" w:cs="宋体"/>
                <w:b/>
                <w:bCs/>
                <w:color w:val="000000"/>
                <w:kern w:val="0"/>
                <w:szCs w:val="21"/>
              </w:rPr>
            </w:pPr>
            <w:r>
              <w:rPr>
                <w:rFonts w:hint="eastAsia" w:ascii="黑体" w:hAnsi="黑体" w:eastAsia="黑体" w:cs="黑体"/>
                <w:color w:val="000000"/>
                <w:kern w:val="0"/>
                <w:sz w:val="24"/>
                <w:szCs w:val="24"/>
              </w:rPr>
              <w:t>2023年度“天弈奖”申报与评审表</w:t>
            </w:r>
          </w:p>
        </w:tc>
      </w:tr>
      <w:tr>
        <w:tblPrEx>
          <w:tblCellMar>
            <w:top w:w="0" w:type="dxa"/>
            <w:left w:w="108" w:type="dxa"/>
            <w:bottom w:w="0" w:type="dxa"/>
            <w:right w:w="108" w:type="dxa"/>
          </w:tblCellMar>
        </w:tblPrEx>
        <w:trPr>
          <w:trHeight w:val="600" w:hRule="atLeast"/>
          <w:jc w:val="center"/>
        </w:trPr>
        <w:tc>
          <w:tcPr>
            <w:tcW w:w="8926" w:type="dxa"/>
            <w:gridSpan w:val="4"/>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before="156" w:after="156" w:line="240" w:lineRule="auto"/>
              <w:ind w:firstLine="0" w:firstLineChars="0"/>
              <w:jc w:val="center"/>
              <w:rPr>
                <w:rFonts w:ascii="仿宋" w:hAnsi="仿宋" w:eastAsia="仿宋" w:cs="仿宋"/>
                <w:b/>
                <w:bCs/>
                <w:color w:val="000000"/>
                <w:kern w:val="0"/>
                <w:szCs w:val="21"/>
              </w:rPr>
            </w:pPr>
            <w:r>
              <w:rPr>
                <w:rFonts w:hint="eastAsia" w:ascii="黑体" w:hAnsi="黑体" w:eastAsia="黑体" w:cs="黑体"/>
                <w:color w:val="000000"/>
                <w:kern w:val="0"/>
                <w:szCs w:val="21"/>
              </w:rPr>
              <w:t>基本信息</w:t>
            </w:r>
          </w:p>
        </w:tc>
      </w:tr>
      <w:tr>
        <w:tblPrEx>
          <w:tblCellMar>
            <w:top w:w="0" w:type="dxa"/>
            <w:left w:w="108" w:type="dxa"/>
            <w:bottom w:w="0" w:type="dxa"/>
            <w:right w:w="108" w:type="dxa"/>
          </w:tblCellMar>
        </w:tblPrEx>
        <w:trPr>
          <w:trHeight w:val="567"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spacing w:before="156" w:after="156" w:line="240" w:lineRule="auto"/>
              <w:ind w:firstLine="0" w:firstLineChars="0"/>
              <w:jc w:val="center"/>
              <w:rPr>
                <w:rFonts w:ascii="仿宋" w:hAnsi="仿宋" w:eastAsia="仿宋" w:cs="仿宋"/>
                <w:color w:val="000000"/>
                <w:kern w:val="0"/>
                <w:szCs w:val="21"/>
              </w:rPr>
            </w:pPr>
            <w:r>
              <w:rPr>
                <w:rFonts w:hint="eastAsia" w:ascii="仿宋" w:hAnsi="仿宋" w:eastAsia="仿宋" w:cs="仿宋"/>
                <w:color w:val="000000"/>
                <w:kern w:val="0"/>
                <w:szCs w:val="21"/>
              </w:rPr>
              <w:t>申报奖项</w:t>
            </w:r>
          </w:p>
        </w:tc>
        <w:tc>
          <w:tcPr>
            <w:tcW w:w="7088" w:type="dxa"/>
            <w:gridSpan w:val="3"/>
            <w:tcBorders>
              <w:top w:val="single" w:color="auto" w:sz="4" w:space="0"/>
              <w:left w:val="nil"/>
              <w:bottom w:val="single" w:color="auto" w:sz="4" w:space="0"/>
              <w:right w:val="single" w:color="auto" w:sz="4" w:space="0"/>
            </w:tcBorders>
            <w:shd w:val="clear" w:color="auto" w:fill="auto"/>
            <w:vAlign w:val="center"/>
          </w:tcPr>
          <w:p>
            <w:pPr>
              <w:spacing w:before="156" w:after="156" w:line="240" w:lineRule="auto"/>
              <w:ind w:firstLine="0" w:firstLineChars="0"/>
              <w:rPr>
                <w:rFonts w:hint="eastAsia" w:ascii="仿宋" w:hAnsi="仿宋" w:eastAsia="仿宋" w:cs="仿宋"/>
                <w:color w:val="7F7F7F" w:themeColor="background1" w:themeShade="80"/>
                <w:kern w:val="0"/>
                <w:szCs w:val="21"/>
              </w:rPr>
            </w:pPr>
          </w:p>
        </w:tc>
      </w:tr>
      <w:tr>
        <w:tblPrEx>
          <w:tblCellMar>
            <w:top w:w="0" w:type="dxa"/>
            <w:left w:w="108" w:type="dxa"/>
            <w:bottom w:w="0" w:type="dxa"/>
            <w:right w:w="108" w:type="dxa"/>
          </w:tblCellMar>
        </w:tblPrEx>
        <w:trPr>
          <w:trHeight w:val="413"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spacing w:before="156" w:after="156" w:line="240" w:lineRule="auto"/>
              <w:ind w:firstLine="0" w:firstLineChars="0"/>
              <w:jc w:val="center"/>
              <w:rPr>
                <w:rFonts w:ascii="仿宋" w:hAnsi="仿宋" w:eastAsia="仿宋" w:cs="仿宋"/>
                <w:color w:val="000000"/>
                <w:kern w:val="0"/>
                <w:szCs w:val="21"/>
              </w:rPr>
            </w:pPr>
            <w:r>
              <w:rPr>
                <w:rFonts w:hint="eastAsia" w:ascii="仿宋" w:hAnsi="仿宋" w:eastAsia="仿宋" w:cs="仿宋"/>
                <w:color w:val="000000"/>
                <w:kern w:val="0"/>
                <w:szCs w:val="21"/>
              </w:rPr>
              <w:t>申报单位</w:t>
            </w:r>
          </w:p>
        </w:tc>
        <w:tc>
          <w:tcPr>
            <w:tcW w:w="7088" w:type="dxa"/>
            <w:gridSpan w:val="3"/>
            <w:tcBorders>
              <w:top w:val="single" w:color="auto" w:sz="4" w:space="0"/>
              <w:left w:val="nil"/>
              <w:bottom w:val="single" w:color="auto" w:sz="4" w:space="0"/>
              <w:right w:val="single" w:color="auto" w:sz="4" w:space="0"/>
            </w:tcBorders>
            <w:shd w:val="clear" w:color="auto" w:fill="auto"/>
            <w:vAlign w:val="center"/>
          </w:tcPr>
          <w:p>
            <w:pPr>
              <w:spacing w:before="156" w:after="156" w:line="240" w:lineRule="auto"/>
              <w:ind w:firstLine="0" w:firstLineChars="0"/>
              <w:rPr>
                <w:rFonts w:hint="eastAsia" w:ascii="仿宋" w:hAnsi="仿宋" w:eastAsia="仿宋" w:cs="仿宋"/>
                <w:color w:val="000000"/>
                <w:kern w:val="0"/>
                <w:szCs w:val="21"/>
              </w:rPr>
            </w:pPr>
          </w:p>
        </w:tc>
      </w:tr>
      <w:tr>
        <w:tblPrEx>
          <w:tblCellMar>
            <w:top w:w="0" w:type="dxa"/>
            <w:left w:w="108" w:type="dxa"/>
            <w:bottom w:w="0" w:type="dxa"/>
            <w:right w:w="108" w:type="dxa"/>
          </w:tblCellMar>
        </w:tblPrEx>
        <w:trPr>
          <w:trHeight w:val="567"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spacing w:before="156" w:after="156" w:line="240" w:lineRule="auto"/>
              <w:ind w:firstLine="0" w:firstLineChars="0"/>
              <w:jc w:val="center"/>
              <w:rPr>
                <w:rFonts w:ascii="仿宋" w:hAnsi="仿宋" w:eastAsia="仿宋" w:cs="仿宋"/>
                <w:color w:val="000000"/>
                <w:kern w:val="0"/>
                <w:szCs w:val="21"/>
              </w:rPr>
            </w:pPr>
            <w:r>
              <w:rPr>
                <w:rFonts w:hint="eastAsia" w:ascii="仿宋" w:hAnsi="仿宋" w:eastAsia="仿宋" w:cs="仿宋"/>
                <w:color w:val="000000"/>
                <w:kern w:val="0"/>
                <w:szCs w:val="21"/>
              </w:rPr>
              <w:t>联系人姓名</w:t>
            </w:r>
          </w:p>
        </w:tc>
        <w:tc>
          <w:tcPr>
            <w:tcW w:w="2557" w:type="dxa"/>
            <w:tcBorders>
              <w:top w:val="single" w:color="auto" w:sz="4" w:space="0"/>
              <w:left w:val="nil"/>
              <w:bottom w:val="single" w:color="auto" w:sz="4" w:space="0"/>
              <w:right w:val="single" w:color="auto" w:sz="4" w:space="0"/>
            </w:tcBorders>
            <w:shd w:val="clear" w:color="auto" w:fill="auto"/>
            <w:vAlign w:val="center"/>
          </w:tcPr>
          <w:p>
            <w:pPr>
              <w:spacing w:before="156" w:after="156" w:line="240" w:lineRule="auto"/>
              <w:ind w:firstLine="0" w:firstLineChars="0"/>
              <w:rPr>
                <w:rFonts w:ascii="仿宋" w:hAnsi="仿宋" w:eastAsia="仿宋" w:cs="仿宋"/>
                <w:color w:val="000000"/>
                <w:kern w:val="0"/>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after="156" w:line="240" w:lineRule="auto"/>
              <w:ind w:firstLine="0" w:firstLineChars="0"/>
              <w:jc w:val="center"/>
              <w:rPr>
                <w:rFonts w:ascii="仿宋" w:hAnsi="仿宋" w:eastAsia="仿宋" w:cs="仿宋"/>
                <w:color w:val="000000"/>
                <w:kern w:val="0"/>
                <w:szCs w:val="21"/>
              </w:rPr>
            </w:pPr>
            <w:r>
              <w:rPr>
                <w:rFonts w:hint="eastAsia" w:ascii="仿宋" w:hAnsi="仿宋" w:eastAsia="仿宋" w:cs="仿宋"/>
                <w:color w:val="000000"/>
                <w:kern w:val="0"/>
                <w:szCs w:val="21"/>
              </w:rPr>
              <w:t>联系电话</w:t>
            </w:r>
          </w:p>
        </w:tc>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after="156" w:line="240" w:lineRule="auto"/>
              <w:ind w:firstLine="0" w:firstLineChars="0"/>
              <w:rPr>
                <w:rFonts w:ascii="仿宋" w:hAnsi="仿宋" w:eastAsia="仿宋" w:cs="仿宋"/>
                <w:color w:val="000000"/>
                <w:kern w:val="0"/>
                <w:szCs w:val="21"/>
              </w:rPr>
            </w:pPr>
          </w:p>
        </w:tc>
      </w:tr>
      <w:tr>
        <w:tblPrEx>
          <w:tblCellMar>
            <w:top w:w="0" w:type="dxa"/>
            <w:left w:w="108" w:type="dxa"/>
            <w:bottom w:w="0" w:type="dxa"/>
            <w:right w:w="108" w:type="dxa"/>
          </w:tblCellMar>
        </w:tblPrEx>
        <w:trPr>
          <w:trHeight w:val="567"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spacing w:before="156" w:after="156" w:line="240" w:lineRule="auto"/>
              <w:ind w:firstLine="0" w:firstLineChars="0"/>
              <w:jc w:val="center"/>
              <w:rPr>
                <w:rFonts w:ascii="仿宋" w:hAnsi="仿宋" w:eastAsia="仿宋" w:cs="仿宋"/>
                <w:color w:val="000000"/>
                <w:kern w:val="0"/>
                <w:szCs w:val="21"/>
              </w:rPr>
            </w:pPr>
            <w:r>
              <w:rPr>
                <w:rFonts w:hint="eastAsia" w:ascii="仿宋" w:hAnsi="仿宋" w:eastAsia="仿宋" w:cs="仿宋"/>
                <w:color w:val="000000"/>
                <w:kern w:val="0"/>
                <w:szCs w:val="21"/>
              </w:rPr>
              <w:t>地址</w:t>
            </w:r>
          </w:p>
        </w:tc>
        <w:tc>
          <w:tcPr>
            <w:tcW w:w="2557" w:type="dxa"/>
            <w:tcBorders>
              <w:top w:val="single" w:color="auto" w:sz="4" w:space="0"/>
              <w:left w:val="nil"/>
              <w:bottom w:val="single" w:color="auto" w:sz="4" w:space="0"/>
              <w:right w:val="single" w:color="auto" w:sz="4" w:space="0"/>
            </w:tcBorders>
            <w:shd w:val="clear" w:color="auto" w:fill="auto"/>
            <w:vAlign w:val="center"/>
          </w:tcPr>
          <w:p>
            <w:pPr>
              <w:spacing w:before="156" w:after="156" w:line="240" w:lineRule="auto"/>
              <w:ind w:firstLine="0" w:firstLineChars="0"/>
              <w:rPr>
                <w:rFonts w:ascii="仿宋" w:hAnsi="仿宋" w:eastAsia="仿宋" w:cs="仿宋"/>
                <w:color w:val="000000"/>
                <w:kern w:val="0"/>
                <w:szCs w:val="21"/>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after="156" w:line="240" w:lineRule="auto"/>
              <w:ind w:firstLine="0" w:firstLineChars="0"/>
              <w:jc w:val="center"/>
              <w:rPr>
                <w:rFonts w:ascii="仿宋" w:hAnsi="仿宋" w:eastAsia="仿宋" w:cs="仿宋"/>
                <w:color w:val="000000"/>
                <w:kern w:val="0"/>
                <w:szCs w:val="21"/>
              </w:rPr>
            </w:pPr>
            <w:r>
              <w:rPr>
                <w:rFonts w:hint="eastAsia" w:ascii="仿宋" w:hAnsi="仿宋" w:eastAsia="仿宋" w:cs="仿宋"/>
                <w:color w:val="000000"/>
                <w:kern w:val="0"/>
                <w:szCs w:val="21"/>
              </w:rPr>
              <w:t>邮箱</w:t>
            </w:r>
          </w:p>
        </w:tc>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56" w:after="156" w:line="240" w:lineRule="auto"/>
              <w:ind w:firstLine="0" w:firstLineChars="0"/>
              <w:rPr>
                <w:rFonts w:ascii="仿宋" w:hAnsi="仿宋" w:eastAsia="仿宋" w:cs="仿宋"/>
                <w:color w:val="000000"/>
                <w:kern w:val="0"/>
                <w:szCs w:val="21"/>
              </w:rPr>
            </w:pPr>
          </w:p>
        </w:tc>
      </w:tr>
      <w:tr>
        <w:tblPrEx>
          <w:tblCellMar>
            <w:top w:w="0" w:type="dxa"/>
            <w:left w:w="108" w:type="dxa"/>
            <w:bottom w:w="0" w:type="dxa"/>
            <w:right w:w="108" w:type="dxa"/>
          </w:tblCellMar>
        </w:tblPrEx>
        <w:trPr>
          <w:trHeight w:val="680" w:hRule="atLeast"/>
          <w:jc w:val="center"/>
        </w:trPr>
        <w:tc>
          <w:tcPr>
            <w:tcW w:w="8926" w:type="dxa"/>
            <w:gridSpan w:val="4"/>
            <w:tcBorders>
              <w:top w:val="single" w:color="auto" w:sz="4" w:space="0"/>
              <w:left w:val="single" w:color="auto" w:sz="4" w:space="0"/>
              <w:bottom w:val="single" w:color="auto" w:sz="4" w:space="0"/>
              <w:right w:val="single" w:color="000000" w:sz="4" w:space="0"/>
            </w:tcBorders>
            <w:shd w:val="clear" w:color="auto" w:fill="D8D8D8" w:themeFill="background1" w:themeFillShade="D9"/>
            <w:vAlign w:val="center"/>
          </w:tcPr>
          <w:p>
            <w:pPr>
              <w:spacing w:before="156" w:after="156" w:line="240" w:lineRule="auto"/>
              <w:ind w:firstLine="0" w:firstLineChars="0"/>
              <w:jc w:val="center"/>
              <w:rPr>
                <w:rFonts w:ascii="仿宋" w:hAnsi="仿宋" w:eastAsia="仿宋" w:cs="仿宋"/>
                <w:b/>
                <w:bCs/>
                <w:color w:val="000000"/>
                <w:kern w:val="0"/>
                <w:szCs w:val="21"/>
              </w:rPr>
            </w:pPr>
            <w:r>
              <w:rPr>
                <w:rFonts w:hint="eastAsia" w:ascii="黑体" w:hAnsi="黑体" w:eastAsia="黑体" w:cs="黑体"/>
                <w:color w:val="000000"/>
                <w:kern w:val="0"/>
                <w:szCs w:val="21"/>
              </w:rPr>
              <w:t>评奖信息</w:t>
            </w:r>
          </w:p>
        </w:tc>
      </w:tr>
      <w:tr>
        <w:tblPrEx>
          <w:tblCellMar>
            <w:top w:w="0" w:type="dxa"/>
            <w:left w:w="108" w:type="dxa"/>
            <w:bottom w:w="0" w:type="dxa"/>
            <w:right w:w="108" w:type="dxa"/>
          </w:tblCellMar>
        </w:tblPrEx>
        <w:trPr>
          <w:trHeight w:val="363" w:hRule="atLeast"/>
          <w:jc w:val="center"/>
        </w:trPr>
        <w:tc>
          <w:tcPr>
            <w:tcW w:w="1838" w:type="dxa"/>
            <w:tcBorders>
              <w:top w:val="single" w:color="auto" w:sz="4" w:space="0"/>
              <w:left w:val="single" w:color="auto" w:sz="4" w:space="0"/>
              <w:bottom w:val="single" w:color="auto" w:sz="4" w:space="0"/>
              <w:right w:val="single" w:color="000000" w:sz="4" w:space="0"/>
            </w:tcBorders>
            <w:shd w:val="clear" w:color="auto" w:fill="auto"/>
            <w:vAlign w:val="center"/>
          </w:tcPr>
          <w:p>
            <w:pPr>
              <w:spacing w:before="156" w:after="156" w:line="240" w:lineRule="auto"/>
              <w:ind w:firstLine="0" w:firstLineChars="0"/>
              <w:jc w:val="center"/>
              <w:rPr>
                <w:rFonts w:ascii="仿宋" w:hAnsi="仿宋" w:eastAsia="仿宋" w:cs="仿宋"/>
                <w:color w:val="000000"/>
                <w:kern w:val="0"/>
                <w:szCs w:val="21"/>
              </w:rPr>
            </w:pPr>
            <w:r>
              <w:rPr>
                <w:rFonts w:hint="eastAsia" w:ascii="仿宋" w:hAnsi="仿宋" w:eastAsia="仿宋" w:cs="仿宋"/>
                <w:color w:val="000000"/>
                <w:kern w:val="0"/>
                <w:szCs w:val="21"/>
              </w:rPr>
              <w:t>申报题目</w:t>
            </w:r>
          </w:p>
        </w:tc>
        <w:tc>
          <w:tcPr>
            <w:tcW w:w="708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spacing w:before="156" w:after="156" w:line="240" w:lineRule="auto"/>
              <w:ind w:firstLine="0" w:firstLineChars="0"/>
              <w:rPr>
                <w:rFonts w:hint="eastAsia" w:ascii="仿宋" w:hAnsi="仿宋" w:eastAsia="仿宋" w:cs="仿宋"/>
                <w:color w:val="000000"/>
                <w:kern w:val="0"/>
                <w:szCs w:val="21"/>
              </w:rPr>
            </w:pPr>
          </w:p>
        </w:tc>
      </w:tr>
      <w:tr>
        <w:tblPrEx>
          <w:tblCellMar>
            <w:top w:w="0" w:type="dxa"/>
            <w:left w:w="108" w:type="dxa"/>
            <w:bottom w:w="0" w:type="dxa"/>
            <w:right w:w="108" w:type="dxa"/>
          </w:tblCellMar>
        </w:tblPrEx>
        <w:trPr>
          <w:trHeight w:val="6722" w:hRule="atLeast"/>
          <w:jc w:val="center"/>
        </w:trPr>
        <w:tc>
          <w:tcPr>
            <w:tcW w:w="1838" w:type="dxa"/>
            <w:tcBorders>
              <w:top w:val="single" w:color="auto" w:sz="4" w:space="0"/>
              <w:left w:val="single" w:color="auto" w:sz="4" w:space="0"/>
              <w:bottom w:val="single" w:color="auto" w:sz="4" w:space="0"/>
              <w:right w:val="single" w:color="000000" w:sz="4" w:space="0"/>
            </w:tcBorders>
            <w:shd w:val="clear" w:color="auto" w:fill="auto"/>
            <w:vAlign w:val="center"/>
          </w:tcPr>
          <w:p>
            <w:pPr>
              <w:spacing w:before="156" w:after="156"/>
              <w:ind w:firstLine="0" w:firstLineChars="0"/>
              <w:jc w:val="center"/>
              <w:rPr>
                <w:rFonts w:ascii="仿宋" w:hAnsi="仿宋" w:eastAsia="仿宋" w:cs="仿宋"/>
                <w:color w:val="000000"/>
                <w:kern w:val="0"/>
                <w:szCs w:val="21"/>
              </w:rPr>
            </w:pPr>
            <w:r>
              <w:rPr>
                <w:rFonts w:hint="eastAsia" w:ascii="仿宋" w:hAnsi="仿宋" w:eastAsia="仿宋" w:cs="仿宋"/>
                <w:color w:val="000000"/>
                <w:kern w:val="0"/>
                <w:szCs w:val="21"/>
              </w:rPr>
              <w:t>优秀实践</w:t>
            </w:r>
            <w:r>
              <w:rPr>
                <w:rFonts w:ascii="仿宋" w:hAnsi="仿宋" w:eastAsia="仿宋" w:cs="仿宋"/>
                <w:color w:val="000000"/>
                <w:kern w:val="0"/>
                <w:szCs w:val="21"/>
              </w:rPr>
              <w:br w:type="textWrapping"/>
            </w:r>
            <w:r>
              <w:rPr>
                <w:rFonts w:hint="eastAsia" w:ascii="仿宋" w:hAnsi="仿宋" w:eastAsia="仿宋" w:cs="仿宋"/>
                <w:color w:val="000000"/>
                <w:kern w:val="0"/>
                <w:szCs w:val="21"/>
              </w:rPr>
              <w:t>自我陈述</w:t>
            </w:r>
          </w:p>
        </w:tc>
        <w:tc>
          <w:tcPr>
            <w:tcW w:w="7088" w:type="dxa"/>
            <w:gridSpan w:val="3"/>
            <w:tcBorders>
              <w:top w:val="single" w:color="auto" w:sz="4" w:space="0"/>
              <w:left w:val="single" w:color="auto" w:sz="4" w:space="0"/>
              <w:bottom w:val="single" w:color="auto" w:sz="4" w:space="0"/>
              <w:right w:val="single" w:color="000000" w:sz="4" w:space="0"/>
            </w:tcBorders>
            <w:shd w:val="clear" w:color="auto" w:fill="auto"/>
          </w:tcPr>
          <w:p>
            <w:pPr>
              <w:spacing w:before="156" w:after="156" w:line="300" w:lineRule="auto"/>
              <w:ind w:firstLine="0" w:firstLineChars="0"/>
              <w:rPr>
                <w:rFonts w:hint="eastAsia" w:ascii="仿宋" w:hAnsi="仿宋" w:eastAsia="仿宋" w:cs="仿宋"/>
                <w:color w:val="000000"/>
                <w:kern w:val="0"/>
                <w:szCs w:val="21"/>
              </w:rPr>
            </w:pPr>
          </w:p>
        </w:tc>
      </w:tr>
      <w:tr>
        <w:tblPrEx>
          <w:tblCellMar>
            <w:top w:w="0" w:type="dxa"/>
            <w:left w:w="108" w:type="dxa"/>
            <w:bottom w:w="0" w:type="dxa"/>
            <w:right w:w="108" w:type="dxa"/>
          </w:tblCellMar>
        </w:tblPrEx>
        <w:trPr>
          <w:trHeight w:val="2247" w:hRule="atLeast"/>
          <w:jc w:val="center"/>
        </w:trPr>
        <w:tc>
          <w:tcPr>
            <w:tcW w:w="1838" w:type="dxa"/>
            <w:tcBorders>
              <w:top w:val="single" w:color="auto" w:sz="4" w:space="0"/>
              <w:left w:val="single" w:color="auto" w:sz="4" w:space="0"/>
              <w:bottom w:val="single" w:color="auto" w:sz="4" w:space="0"/>
              <w:right w:val="single" w:color="000000" w:sz="4" w:space="0"/>
            </w:tcBorders>
            <w:shd w:val="clear" w:color="auto" w:fill="auto"/>
            <w:vAlign w:val="center"/>
          </w:tcPr>
          <w:p>
            <w:pPr>
              <w:spacing w:before="156" w:after="156"/>
              <w:ind w:firstLine="0" w:firstLineChars="0"/>
              <w:jc w:val="center"/>
              <w:rPr>
                <w:rFonts w:ascii="仿宋" w:hAnsi="仿宋" w:eastAsia="仿宋" w:cs="仿宋"/>
                <w:color w:val="000000"/>
                <w:kern w:val="0"/>
                <w:szCs w:val="21"/>
              </w:rPr>
            </w:pPr>
            <w:r>
              <w:rPr>
                <w:rFonts w:hint="eastAsia" w:ascii="仿宋" w:hAnsi="仿宋" w:eastAsia="仿宋" w:cs="仿宋"/>
                <w:color w:val="000000"/>
                <w:kern w:val="0"/>
                <w:szCs w:val="21"/>
              </w:rPr>
              <w:t>组委会评语</w:t>
            </w:r>
          </w:p>
        </w:tc>
        <w:tc>
          <w:tcPr>
            <w:tcW w:w="7088" w:type="dxa"/>
            <w:gridSpan w:val="3"/>
            <w:tcBorders>
              <w:top w:val="single" w:color="auto" w:sz="4" w:space="0"/>
              <w:left w:val="single" w:color="auto" w:sz="4" w:space="0"/>
              <w:bottom w:val="single" w:color="auto" w:sz="4" w:space="0"/>
              <w:right w:val="single" w:color="000000" w:sz="4" w:space="0"/>
            </w:tcBorders>
            <w:shd w:val="clear" w:color="auto" w:fill="auto"/>
          </w:tcPr>
          <w:p>
            <w:pPr>
              <w:spacing w:before="156" w:after="156" w:line="240" w:lineRule="auto"/>
              <w:ind w:firstLine="420"/>
              <w:rPr>
                <w:rFonts w:hint="eastAsia" w:ascii="仿宋" w:hAnsi="仿宋" w:eastAsia="仿宋" w:cs="仿宋"/>
                <w:color w:val="000000"/>
                <w:kern w:val="0"/>
                <w:szCs w:val="21"/>
              </w:rPr>
            </w:pPr>
            <w:r>
              <w:rPr>
                <w:rFonts w:hint="eastAsia" w:ascii="仿宋" w:hAnsi="仿宋" w:eastAsia="仿宋" w:cs="仿宋"/>
                <w:color w:val="7F7F7F" w:themeColor="background1" w:themeShade="80"/>
                <w:kern w:val="0"/>
                <w:szCs w:val="21"/>
              </w:rPr>
              <w:t>本部分由评奖专家委员会撰写</w:t>
            </w:r>
          </w:p>
        </w:tc>
      </w:tr>
    </w:tbl>
    <w:p>
      <w:pPr>
        <w:spacing w:before="156" w:after="156" w:line="240" w:lineRule="auto"/>
        <w:ind w:firstLine="0" w:firstLineChars="0"/>
        <w:jc w:val="left"/>
        <w:rPr>
          <w:rFonts w:ascii="仿宋" w:hAnsi="仿宋" w:eastAsia="仿宋" w:cs="仿宋"/>
          <w:b/>
          <w:bCs/>
          <w:kern w:val="0"/>
          <w:szCs w:val="21"/>
        </w:rPr>
      </w:pPr>
    </w:p>
    <w:p>
      <w:pPr>
        <w:pStyle w:val="63"/>
        <w:numPr>
          <w:ilvl w:val="0"/>
          <w:numId w:val="3"/>
        </w:numPr>
        <w:spacing w:before="156" w:after="156"/>
        <w:ind w:firstLineChars="0"/>
        <w:jc w:val="left"/>
        <w:rPr>
          <w:rFonts w:ascii="仿宋" w:hAnsi="仿宋" w:eastAsia="仿宋" w:cs="仿宋"/>
          <w:b/>
          <w:bCs/>
          <w:kern w:val="0"/>
          <w:szCs w:val="21"/>
        </w:rPr>
      </w:pPr>
      <w:r>
        <w:rPr>
          <w:rFonts w:hint="eastAsia" w:ascii="仿宋" w:hAnsi="仿宋" w:eastAsia="仿宋" w:cs="仿宋"/>
          <w:b/>
          <w:bCs/>
          <w:kern w:val="0"/>
          <w:szCs w:val="21"/>
        </w:rPr>
        <w:t>填报说明：</w:t>
      </w:r>
    </w:p>
    <w:p>
      <w:pPr>
        <w:spacing w:before="156" w:after="156"/>
        <w:ind w:firstLine="420"/>
        <w:rPr>
          <w:rFonts w:ascii="仿宋" w:hAnsi="仿宋" w:eastAsia="仿宋" w:cs="仿宋"/>
          <w:kern w:val="0"/>
          <w:szCs w:val="21"/>
        </w:rPr>
      </w:pPr>
      <w:r>
        <w:rPr>
          <w:rFonts w:hint="eastAsia" w:ascii="仿宋" w:hAnsi="仿宋" w:eastAsia="仿宋" w:cs="仿宋"/>
          <w:kern w:val="0"/>
          <w:szCs w:val="21"/>
        </w:rPr>
        <w:t>1</w:t>
      </w:r>
      <w:r>
        <w:rPr>
          <w:rFonts w:ascii="仿宋" w:hAnsi="仿宋" w:eastAsia="仿宋" w:cs="仿宋"/>
          <w:kern w:val="0"/>
          <w:szCs w:val="21"/>
        </w:rPr>
        <w:t xml:space="preserve">. </w:t>
      </w:r>
      <w:r>
        <w:rPr>
          <w:rFonts w:hint="eastAsia" w:ascii="仿宋" w:hAnsi="仿宋" w:eastAsia="仿宋" w:cs="仿宋"/>
          <w:b/>
          <w:bCs/>
          <w:kern w:val="0"/>
          <w:szCs w:val="21"/>
        </w:rPr>
        <w:t>“申报奖项”</w:t>
      </w:r>
      <w:r>
        <w:rPr>
          <w:rFonts w:hint="eastAsia" w:ascii="仿宋" w:hAnsi="仿宋" w:eastAsia="仿宋" w:cs="仿宋"/>
          <w:kern w:val="0"/>
          <w:szCs w:val="21"/>
        </w:rPr>
        <w:t>栏中填写具体的奖项分类，参见申报说明中的奖项设置</w:t>
      </w:r>
    </w:p>
    <w:p>
      <w:pPr>
        <w:spacing w:before="156" w:after="156"/>
        <w:ind w:firstLine="420"/>
        <w:rPr>
          <w:rFonts w:ascii="仿宋" w:hAnsi="仿宋" w:eastAsia="仿宋" w:cs="仿宋"/>
          <w:kern w:val="0"/>
          <w:szCs w:val="21"/>
        </w:rPr>
      </w:pPr>
      <w:r>
        <w:rPr>
          <w:rFonts w:ascii="仿宋" w:hAnsi="仿宋" w:eastAsia="仿宋" w:cs="仿宋"/>
          <w:kern w:val="0"/>
          <w:szCs w:val="21"/>
        </w:rPr>
        <w:t xml:space="preserve">2. </w:t>
      </w:r>
      <w:r>
        <w:rPr>
          <w:rFonts w:hint="eastAsia" w:ascii="仿宋" w:hAnsi="仿宋" w:eastAsia="仿宋" w:cs="仿宋"/>
          <w:b/>
          <w:bCs/>
          <w:kern w:val="0"/>
          <w:szCs w:val="21"/>
        </w:rPr>
        <w:t>“申报单位”</w:t>
      </w:r>
      <w:r>
        <w:rPr>
          <w:rFonts w:hint="eastAsia" w:ascii="仿宋" w:hAnsi="仿宋" w:eastAsia="仿宋" w:cs="仿宋"/>
          <w:kern w:val="0"/>
          <w:szCs w:val="21"/>
        </w:rPr>
        <w:t>可以是金融机构总部各部门、分支机构、业务或管理团队，多部门联合申报可以填写多部门名称。每申报一个奖项需单独填写一份独立的申报表，如果同一个申报单位希望申报多个奖项，请填写多份申报表。</w:t>
      </w:r>
    </w:p>
    <w:p>
      <w:pPr>
        <w:spacing w:before="156" w:after="156"/>
        <w:ind w:firstLine="420"/>
        <w:rPr>
          <w:rFonts w:ascii="仿宋" w:hAnsi="仿宋" w:eastAsia="仿宋" w:cs="仿宋"/>
          <w:kern w:val="0"/>
          <w:szCs w:val="21"/>
        </w:rPr>
      </w:pPr>
      <w:r>
        <w:rPr>
          <w:rFonts w:hint="eastAsia" w:ascii="仿宋" w:hAnsi="仿宋" w:eastAsia="仿宋" w:cs="仿宋"/>
          <w:kern w:val="0"/>
          <w:szCs w:val="21"/>
        </w:rPr>
        <w:t xml:space="preserve">3. </w:t>
      </w:r>
      <w:r>
        <w:rPr>
          <w:rFonts w:hint="eastAsia" w:ascii="仿宋" w:hAnsi="仿宋" w:eastAsia="仿宋" w:cs="仿宋"/>
          <w:b/>
          <w:bCs/>
          <w:kern w:val="0"/>
          <w:szCs w:val="21"/>
        </w:rPr>
        <w:t>“申报题目”</w:t>
      </w:r>
      <w:r>
        <w:rPr>
          <w:rFonts w:hint="eastAsia" w:ascii="仿宋" w:hAnsi="仿宋" w:eastAsia="仿宋" w:cs="仿宋"/>
          <w:kern w:val="0"/>
          <w:szCs w:val="21"/>
        </w:rPr>
        <w:t>栏中请填写根据优秀实践自我陈述内容自拟题目，50字以内，可用于在颁奖活动中进行专题交流分享。</w:t>
      </w:r>
    </w:p>
    <w:p>
      <w:pPr>
        <w:spacing w:before="156" w:after="156"/>
        <w:ind w:firstLine="420"/>
        <w:rPr>
          <w:rFonts w:ascii="仿宋" w:hAnsi="仿宋" w:eastAsia="仿宋" w:cs="仿宋"/>
          <w:b/>
          <w:bCs/>
          <w:kern w:val="0"/>
          <w:szCs w:val="21"/>
        </w:rPr>
      </w:pPr>
      <w:r>
        <w:rPr>
          <w:rFonts w:hint="eastAsia" w:ascii="仿宋" w:hAnsi="仿宋" w:eastAsia="仿宋" w:cs="仿宋"/>
          <w:kern w:val="0"/>
          <w:szCs w:val="21"/>
        </w:rPr>
        <w:t>4</w:t>
      </w:r>
      <w:r>
        <w:rPr>
          <w:rFonts w:ascii="仿宋" w:hAnsi="仿宋" w:eastAsia="仿宋" w:cs="仿宋"/>
          <w:kern w:val="0"/>
          <w:szCs w:val="21"/>
        </w:rPr>
        <w:t xml:space="preserve">. </w:t>
      </w:r>
      <w:r>
        <w:rPr>
          <w:rFonts w:hint="eastAsia" w:ascii="仿宋" w:hAnsi="仿宋" w:eastAsia="仿宋" w:cs="仿宋"/>
          <w:kern w:val="0"/>
          <w:szCs w:val="21"/>
        </w:rPr>
        <w:t>“</w:t>
      </w:r>
      <w:r>
        <w:rPr>
          <w:rFonts w:hint="eastAsia" w:ascii="仿宋" w:hAnsi="仿宋" w:eastAsia="仿宋" w:cs="仿宋"/>
          <w:b/>
          <w:bCs/>
          <w:kern w:val="0"/>
          <w:szCs w:val="21"/>
        </w:rPr>
        <w:t>优秀实践自我陈述</w:t>
      </w:r>
      <w:r>
        <w:rPr>
          <w:rFonts w:hint="eastAsia" w:ascii="仿宋" w:hAnsi="仿宋" w:eastAsia="仿宋" w:cs="仿宋"/>
          <w:kern w:val="0"/>
          <w:szCs w:val="21"/>
        </w:rPr>
        <w:t>”栏中请填写500</w:t>
      </w:r>
      <w:r>
        <w:rPr>
          <w:rFonts w:eastAsia="仿宋" w:cs="Times New Roman"/>
          <w:kern w:val="0"/>
          <w:szCs w:val="21"/>
        </w:rPr>
        <w:t>~</w:t>
      </w:r>
      <w:r>
        <w:rPr>
          <w:rFonts w:hint="eastAsia" w:ascii="仿宋" w:hAnsi="仿宋" w:eastAsia="仿宋" w:cs="仿宋"/>
          <w:kern w:val="0"/>
          <w:szCs w:val="21"/>
        </w:rPr>
        <w:t>1000字风险管理优秀实践概述，阐述申报奖项的基本情况，包括项目背景、针对的问题、解决方案的特色、实施效果、领先实践的具体表现，以及各方的积极反馈等内容。该部分信息是评奖的主要依据，请务必核实真实性。</w:t>
      </w:r>
      <w:r>
        <w:rPr>
          <w:rFonts w:hint="eastAsia" w:ascii="仿宋" w:hAnsi="仿宋" w:eastAsia="仿宋" w:cs="仿宋"/>
          <w:b/>
          <w:bCs/>
          <w:kern w:val="0"/>
          <w:szCs w:val="21"/>
        </w:rPr>
        <w:t>该信息将对外公布，请务必注意信息发布的适当性。</w:t>
      </w:r>
    </w:p>
    <w:p>
      <w:pPr>
        <w:spacing w:before="156" w:after="156"/>
        <w:ind w:firstLine="420"/>
        <w:rPr>
          <w:rFonts w:ascii="仿宋" w:hAnsi="仿宋" w:eastAsia="仿宋" w:cs="仿宋"/>
          <w:kern w:val="0"/>
          <w:szCs w:val="21"/>
        </w:rPr>
      </w:pPr>
      <w:r>
        <w:rPr>
          <w:rFonts w:hint="eastAsia" w:ascii="仿宋" w:hAnsi="仿宋" w:eastAsia="仿宋" w:cs="仿宋"/>
          <w:kern w:val="0"/>
          <w:szCs w:val="21"/>
        </w:rPr>
        <w:t>5</w:t>
      </w:r>
      <w:r>
        <w:rPr>
          <w:rFonts w:ascii="仿宋" w:hAnsi="仿宋" w:eastAsia="仿宋" w:cs="仿宋"/>
          <w:kern w:val="0"/>
          <w:szCs w:val="21"/>
        </w:rPr>
        <w:t xml:space="preserve">. </w:t>
      </w:r>
      <w:r>
        <w:rPr>
          <w:rFonts w:hint="eastAsia" w:ascii="仿宋" w:hAnsi="仿宋" w:eastAsia="仿宋" w:cs="仿宋"/>
          <w:kern w:val="0"/>
          <w:szCs w:val="21"/>
        </w:rPr>
        <w:t>组委会评语由评奖专家委员会撰写。</w:t>
      </w:r>
    </w:p>
    <w:p>
      <w:pPr>
        <w:spacing w:before="156" w:after="156"/>
        <w:ind w:firstLine="420"/>
        <w:rPr>
          <w:rFonts w:ascii="仿宋" w:hAnsi="仿宋" w:eastAsia="仿宋" w:cs="仿宋"/>
          <w:b/>
          <w:bCs/>
          <w:kern w:val="0"/>
          <w:szCs w:val="21"/>
        </w:rPr>
      </w:pPr>
      <w:r>
        <w:rPr>
          <w:rFonts w:ascii="仿宋" w:hAnsi="仿宋" w:eastAsia="仿宋" w:cs="仿宋"/>
          <w:kern w:val="0"/>
          <w:szCs w:val="21"/>
        </w:rPr>
        <w:t>6</w:t>
      </w:r>
      <w:r>
        <w:rPr>
          <w:rFonts w:ascii="仿宋" w:hAnsi="仿宋" w:eastAsia="仿宋" w:cs="仿宋"/>
          <w:b/>
          <w:bCs/>
          <w:kern w:val="0"/>
          <w:szCs w:val="21"/>
        </w:rPr>
        <w:t xml:space="preserve">. </w:t>
      </w:r>
      <w:r>
        <w:rPr>
          <w:rFonts w:hint="eastAsia" w:ascii="仿宋" w:hAnsi="仿宋" w:eastAsia="仿宋" w:cs="仿宋"/>
          <w:kern w:val="0"/>
          <w:szCs w:val="21"/>
        </w:rPr>
        <w:t>请于2</w:t>
      </w:r>
      <w:r>
        <w:rPr>
          <w:rFonts w:ascii="仿宋" w:hAnsi="仿宋" w:eastAsia="仿宋" w:cs="仿宋"/>
          <w:kern w:val="0"/>
          <w:szCs w:val="21"/>
        </w:rPr>
        <w:t>023</w:t>
      </w:r>
      <w:r>
        <w:rPr>
          <w:rFonts w:hint="eastAsia" w:ascii="仿宋" w:hAnsi="仿宋" w:eastAsia="仿宋" w:cs="仿宋"/>
          <w:kern w:val="0"/>
          <w:szCs w:val="21"/>
        </w:rPr>
        <w:t>年9月2</w:t>
      </w:r>
      <w:r>
        <w:rPr>
          <w:rFonts w:ascii="仿宋" w:hAnsi="仿宋" w:eastAsia="仿宋" w:cs="仿宋"/>
          <w:kern w:val="0"/>
          <w:szCs w:val="21"/>
        </w:rPr>
        <w:t>0</w:t>
      </w:r>
      <w:r>
        <w:rPr>
          <w:rFonts w:hint="eastAsia" w:ascii="仿宋" w:hAnsi="仿宋" w:eastAsia="仿宋" w:cs="仿宋"/>
          <w:kern w:val="0"/>
          <w:szCs w:val="21"/>
        </w:rPr>
        <w:t>日前发送至“天弈奖”评奖组委会邮箱（见下方联系方式）。</w:t>
      </w:r>
    </w:p>
    <w:p>
      <w:pPr>
        <w:spacing w:before="156" w:after="156"/>
        <w:ind w:firstLine="422"/>
        <w:jc w:val="left"/>
        <w:rPr>
          <w:rFonts w:ascii="仿宋" w:hAnsi="仿宋" w:eastAsia="仿宋" w:cs="仿宋"/>
          <w:b/>
          <w:kern w:val="0"/>
          <w:szCs w:val="21"/>
        </w:rPr>
      </w:pPr>
    </w:p>
    <w:p>
      <w:pPr>
        <w:pStyle w:val="63"/>
        <w:numPr>
          <w:ilvl w:val="0"/>
          <w:numId w:val="3"/>
        </w:numPr>
        <w:spacing w:before="156" w:after="156"/>
        <w:ind w:firstLineChars="0"/>
        <w:jc w:val="left"/>
        <w:rPr>
          <w:rFonts w:ascii="仿宋" w:hAnsi="仿宋" w:eastAsia="仿宋" w:cs="仿宋"/>
          <w:kern w:val="0"/>
          <w:szCs w:val="21"/>
        </w:rPr>
      </w:pPr>
      <w:r>
        <w:rPr>
          <w:rFonts w:hint="eastAsia" w:ascii="仿宋" w:hAnsi="仿宋" w:eastAsia="仿宋" w:cs="仿宋"/>
          <w:b/>
          <w:kern w:val="0"/>
          <w:szCs w:val="21"/>
        </w:rPr>
        <w:t>“天弈奖”评奖组委会联系方式：</w:t>
      </w:r>
    </w:p>
    <w:p>
      <w:pPr>
        <w:spacing w:before="156" w:after="156"/>
        <w:ind w:left="420" w:leftChars="200" w:firstLine="420"/>
        <w:jc w:val="left"/>
        <w:rPr>
          <w:rFonts w:ascii="微软雅黑" w:hAnsi="微软雅黑" w:eastAsia="微软雅黑" w:cs="宋体"/>
          <w:kern w:val="0"/>
          <w:szCs w:val="21"/>
        </w:rPr>
      </w:pPr>
      <w:r>
        <w:rPr>
          <w:rFonts w:hint="eastAsia" w:ascii="仿宋" w:hAnsi="仿宋" w:eastAsia="仿宋" w:cs="仿宋"/>
          <w:kern w:val="0"/>
          <w:szCs w:val="21"/>
        </w:rPr>
        <w:t>组委会邮箱：forum@cfrisk.org</w:t>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联系人：李新国</w:t>
      </w:r>
    </w:p>
    <w:p>
      <w:pPr>
        <w:spacing w:before="156" w:after="156"/>
        <w:ind w:left="420" w:leftChars="200" w:firstLine="420"/>
        <w:jc w:val="left"/>
        <w:rPr>
          <w:rFonts w:ascii="仿宋" w:hAnsi="仿宋" w:eastAsia="仿宋" w:cs="仿宋"/>
          <w:kern w:val="0"/>
          <w:szCs w:val="21"/>
        </w:rPr>
      </w:pPr>
      <w:r>
        <w:rPr>
          <w:rFonts w:hint="eastAsia" w:ascii="仿宋" w:hAnsi="仿宋" w:eastAsia="仿宋" w:cs="仿宋"/>
          <w:kern w:val="0"/>
          <w:szCs w:val="21"/>
        </w:rPr>
        <w:t>公司座机：010-82563540</w:t>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ab/>
      </w:r>
      <w:r>
        <w:rPr>
          <w:rFonts w:hint="eastAsia" w:ascii="仿宋" w:hAnsi="仿宋" w:eastAsia="仿宋" w:cs="仿宋"/>
          <w:kern w:val="0"/>
          <w:szCs w:val="21"/>
        </w:rPr>
        <w:t>手机/微信：13681499969</w:t>
      </w:r>
    </w:p>
    <w:p>
      <w:pPr>
        <w:spacing w:before="156" w:after="156"/>
        <w:ind w:left="420" w:leftChars="200" w:firstLine="420"/>
        <w:jc w:val="left"/>
        <w:rPr>
          <w:rFonts w:ascii="仿宋" w:hAnsi="仿宋" w:eastAsia="仿宋" w:cs="仿宋"/>
          <w:kern w:val="0"/>
          <w:szCs w:val="21"/>
        </w:rPr>
      </w:pPr>
    </w:p>
    <w:p>
      <w:pPr>
        <w:spacing w:before="156" w:after="156"/>
        <w:ind w:firstLine="420"/>
      </w:pPr>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4498705"/>
    </w:sdtPr>
    <w:sdtContent>
      <w:p>
        <w:pPr>
          <w:pStyle w:val="9"/>
          <w:spacing w:before="120" w:after="120"/>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spacing w:before="120" w:after="120"/>
      <w:ind w:firstLine="0" w:firstLineChars="0"/>
      <w:jc w:val="left"/>
    </w:pPr>
    <w:r>
      <w:drawing>
        <wp:anchor distT="0" distB="0" distL="114300" distR="114300" simplePos="0" relativeHeight="251659264" behindDoc="0" locked="0" layoutInCell="1" allowOverlap="1">
          <wp:simplePos x="0" y="0"/>
          <wp:positionH relativeFrom="column">
            <wp:posOffset>3810</wp:posOffset>
          </wp:positionH>
          <wp:positionV relativeFrom="paragraph">
            <wp:posOffset>-48895</wp:posOffset>
          </wp:positionV>
          <wp:extent cx="1682115" cy="3498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88252" cy="35143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5786C"/>
    <w:multiLevelType w:val="multilevel"/>
    <w:tmpl w:val="0EB5786C"/>
    <w:lvl w:ilvl="0" w:tentative="0">
      <w:start w:val="1"/>
      <w:numFmt w:val="bullet"/>
      <w:lvlText w:val=""/>
      <w:lvlJc w:val="left"/>
      <w:pPr>
        <w:ind w:left="780" w:hanging="360"/>
      </w:pPr>
      <w:rPr>
        <w:rFonts w:hint="default" w:ascii="Wingdings" w:hAnsi="Wingdings"/>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
    <w:nsid w:val="182E3F4B"/>
    <w:multiLevelType w:val="multilevel"/>
    <w:tmpl w:val="182E3F4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76728"/>
    <w:multiLevelType w:val="multilevel"/>
    <w:tmpl w:val="3B876728"/>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1ZTkwMGUyZTA3OThkMWFhN2U0NGVhODAwYWUwNzcifQ=="/>
  </w:docVars>
  <w:rsids>
    <w:rsidRoot w:val="00C2063D"/>
    <w:rsid w:val="000004EE"/>
    <w:rsid w:val="000038A0"/>
    <w:rsid w:val="00006589"/>
    <w:rsid w:val="000260C3"/>
    <w:rsid w:val="00071D39"/>
    <w:rsid w:val="00082E32"/>
    <w:rsid w:val="0009218C"/>
    <w:rsid w:val="000D384A"/>
    <w:rsid w:val="000F5033"/>
    <w:rsid w:val="00123944"/>
    <w:rsid w:val="001528E1"/>
    <w:rsid w:val="00153261"/>
    <w:rsid w:val="00165584"/>
    <w:rsid w:val="0016625A"/>
    <w:rsid w:val="001928F9"/>
    <w:rsid w:val="001B1318"/>
    <w:rsid w:val="001C7395"/>
    <w:rsid w:val="001C73E6"/>
    <w:rsid w:val="001E1337"/>
    <w:rsid w:val="00213F23"/>
    <w:rsid w:val="002147E7"/>
    <w:rsid w:val="002257EC"/>
    <w:rsid w:val="00232B28"/>
    <w:rsid w:val="00242590"/>
    <w:rsid w:val="002426AB"/>
    <w:rsid w:val="00247F49"/>
    <w:rsid w:val="00255571"/>
    <w:rsid w:val="00261DD3"/>
    <w:rsid w:val="0027681A"/>
    <w:rsid w:val="002841BC"/>
    <w:rsid w:val="002A4B21"/>
    <w:rsid w:val="002A623E"/>
    <w:rsid w:val="002A68B0"/>
    <w:rsid w:val="002B2D1C"/>
    <w:rsid w:val="002C6AB0"/>
    <w:rsid w:val="002D2E99"/>
    <w:rsid w:val="002D41B9"/>
    <w:rsid w:val="002F1C3B"/>
    <w:rsid w:val="002F61E4"/>
    <w:rsid w:val="003145DE"/>
    <w:rsid w:val="003233CC"/>
    <w:rsid w:val="00333953"/>
    <w:rsid w:val="0034585F"/>
    <w:rsid w:val="003651E6"/>
    <w:rsid w:val="0037594A"/>
    <w:rsid w:val="00390FFC"/>
    <w:rsid w:val="003A1D0F"/>
    <w:rsid w:val="003A270A"/>
    <w:rsid w:val="004507B7"/>
    <w:rsid w:val="00471592"/>
    <w:rsid w:val="00485E04"/>
    <w:rsid w:val="004915F3"/>
    <w:rsid w:val="004B0FB3"/>
    <w:rsid w:val="004D1715"/>
    <w:rsid w:val="004D52DF"/>
    <w:rsid w:val="00564D7B"/>
    <w:rsid w:val="00583A35"/>
    <w:rsid w:val="00583E3B"/>
    <w:rsid w:val="005914DC"/>
    <w:rsid w:val="005C1294"/>
    <w:rsid w:val="005C37C4"/>
    <w:rsid w:val="005D0807"/>
    <w:rsid w:val="005E5F6F"/>
    <w:rsid w:val="0060198E"/>
    <w:rsid w:val="006117B8"/>
    <w:rsid w:val="006141BB"/>
    <w:rsid w:val="006264E6"/>
    <w:rsid w:val="0064130F"/>
    <w:rsid w:val="00676587"/>
    <w:rsid w:val="00696798"/>
    <w:rsid w:val="00702182"/>
    <w:rsid w:val="00703D9C"/>
    <w:rsid w:val="00737C3C"/>
    <w:rsid w:val="007707A8"/>
    <w:rsid w:val="00787293"/>
    <w:rsid w:val="007956D0"/>
    <w:rsid w:val="007A354D"/>
    <w:rsid w:val="007B2B4B"/>
    <w:rsid w:val="007C1C02"/>
    <w:rsid w:val="007D77C6"/>
    <w:rsid w:val="007D7AA0"/>
    <w:rsid w:val="00811483"/>
    <w:rsid w:val="00812634"/>
    <w:rsid w:val="008133B6"/>
    <w:rsid w:val="00814CF9"/>
    <w:rsid w:val="00827B31"/>
    <w:rsid w:val="008310DE"/>
    <w:rsid w:val="0083210F"/>
    <w:rsid w:val="00832FFF"/>
    <w:rsid w:val="00855876"/>
    <w:rsid w:val="00861AF3"/>
    <w:rsid w:val="0088403B"/>
    <w:rsid w:val="008E7DFB"/>
    <w:rsid w:val="008F485D"/>
    <w:rsid w:val="008F48A3"/>
    <w:rsid w:val="009312A7"/>
    <w:rsid w:val="00953E44"/>
    <w:rsid w:val="009B1B39"/>
    <w:rsid w:val="009B6B28"/>
    <w:rsid w:val="009D746B"/>
    <w:rsid w:val="009D7B99"/>
    <w:rsid w:val="00A0001C"/>
    <w:rsid w:val="00A02AEB"/>
    <w:rsid w:val="00A32D3E"/>
    <w:rsid w:val="00A32F0E"/>
    <w:rsid w:val="00A60956"/>
    <w:rsid w:val="00A86919"/>
    <w:rsid w:val="00A9394A"/>
    <w:rsid w:val="00AA748A"/>
    <w:rsid w:val="00AE7524"/>
    <w:rsid w:val="00B063EA"/>
    <w:rsid w:val="00B24112"/>
    <w:rsid w:val="00B2463B"/>
    <w:rsid w:val="00B3788A"/>
    <w:rsid w:val="00B51396"/>
    <w:rsid w:val="00B80FCC"/>
    <w:rsid w:val="00B82D4D"/>
    <w:rsid w:val="00BA74A1"/>
    <w:rsid w:val="00BB5C2E"/>
    <w:rsid w:val="00BC1467"/>
    <w:rsid w:val="00BD1DC0"/>
    <w:rsid w:val="00BE57B9"/>
    <w:rsid w:val="00C2063D"/>
    <w:rsid w:val="00C65688"/>
    <w:rsid w:val="00C872E1"/>
    <w:rsid w:val="00C95501"/>
    <w:rsid w:val="00CC0E7E"/>
    <w:rsid w:val="00CC3478"/>
    <w:rsid w:val="00CC6AA1"/>
    <w:rsid w:val="00CD6A34"/>
    <w:rsid w:val="00CE0857"/>
    <w:rsid w:val="00CE4382"/>
    <w:rsid w:val="00D15371"/>
    <w:rsid w:val="00D550D5"/>
    <w:rsid w:val="00D62304"/>
    <w:rsid w:val="00D70D94"/>
    <w:rsid w:val="00D779E5"/>
    <w:rsid w:val="00D84323"/>
    <w:rsid w:val="00D84A67"/>
    <w:rsid w:val="00DD6614"/>
    <w:rsid w:val="00DE57F5"/>
    <w:rsid w:val="00DF5975"/>
    <w:rsid w:val="00E22111"/>
    <w:rsid w:val="00E228E5"/>
    <w:rsid w:val="00E32B63"/>
    <w:rsid w:val="00E32BC1"/>
    <w:rsid w:val="00E34018"/>
    <w:rsid w:val="00E56B98"/>
    <w:rsid w:val="00E83215"/>
    <w:rsid w:val="00E958C1"/>
    <w:rsid w:val="00EA060D"/>
    <w:rsid w:val="00EA2A5D"/>
    <w:rsid w:val="00EA567B"/>
    <w:rsid w:val="00EB1C0D"/>
    <w:rsid w:val="00EC6F44"/>
    <w:rsid w:val="00ED7E0D"/>
    <w:rsid w:val="00EF44A1"/>
    <w:rsid w:val="00F03B94"/>
    <w:rsid w:val="00F06F85"/>
    <w:rsid w:val="00F105BD"/>
    <w:rsid w:val="00F15C70"/>
    <w:rsid w:val="00F60784"/>
    <w:rsid w:val="00F8596F"/>
    <w:rsid w:val="00F97C7F"/>
    <w:rsid w:val="00FC44F0"/>
    <w:rsid w:val="11840349"/>
    <w:rsid w:val="1A0020D2"/>
    <w:rsid w:val="32097F20"/>
    <w:rsid w:val="56FA4931"/>
    <w:rsid w:val="60AA2D0D"/>
    <w:rsid w:val="75AA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before="50" w:beforeLines="50" w:after="50" w:afterLines="50" w:line="36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18"/>
    <w:qFormat/>
    <w:uiPriority w:val="9"/>
    <w:pPr>
      <w:ind w:firstLine="0" w:firstLineChars="0"/>
      <w:jc w:val="center"/>
      <w:outlineLvl w:val="0"/>
    </w:pPr>
    <w:rPr>
      <w:rFonts w:eastAsia="黑体"/>
      <w:b/>
      <w:bCs/>
      <w:kern w:val="44"/>
      <w:sz w:val="28"/>
      <w:szCs w:val="44"/>
    </w:rPr>
  </w:style>
  <w:style w:type="paragraph" w:styleId="3">
    <w:name w:val="heading 2"/>
    <w:basedOn w:val="1"/>
    <w:next w:val="1"/>
    <w:link w:val="20"/>
    <w:unhideWhenUsed/>
    <w:qFormat/>
    <w:uiPriority w:val="9"/>
    <w:pPr>
      <w:ind w:firstLine="0" w:firstLineChars="0"/>
      <w:outlineLvl w:val="1"/>
    </w:pPr>
    <w:rPr>
      <w:rFonts w:eastAsia="黑体" w:cstheme="majorBidi"/>
      <w:b/>
      <w:bCs/>
      <w:sz w:val="24"/>
      <w:szCs w:val="32"/>
    </w:rPr>
  </w:style>
  <w:style w:type="paragraph" w:styleId="4">
    <w:name w:val="heading 3"/>
    <w:basedOn w:val="1"/>
    <w:next w:val="1"/>
    <w:link w:val="21"/>
    <w:unhideWhenUsed/>
    <w:qFormat/>
    <w:uiPriority w:val="9"/>
    <w:pPr>
      <w:adjustRightInd w:val="0"/>
      <w:spacing w:line="240" w:lineRule="auto"/>
      <w:outlineLvl w:val="2"/>
    </w:pPr>
    <w:rPr>
      <w:b/>
      <w:bCs/>
      <w:szCs w:val="32"/>
    </w:rPr>
  </w:style>
  <w:style w:type="paragraph" w:styleId="5">
    <w:name w:val="heading 4"/>
    <w:basedOn w:val="1"/>
    <w:next w:val="1"/>
    <w:link w:val="22"/>
    <w:unhideWhenUsed/>
    <w:qFormat/>
    <w:uiPriority w:val="9"/>
    <w:pPr>
      <w:spacing w:line="240" w:lineRule="auto"/>
      <w:ind w:firstLine="0" w:firstLineChars="0"/>
      <w:outlineLvl w:val="3"/>
    </w:pPr>
    <w:rPr>
      <w:rFonts w:cstheme="majorBidi"/>
      <w:b/>
      <w:bCs/>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Date"/>
    <w:basedOn w:val="1"/>
    <w:next w:val="1"/>
    <w:link w:val="67"/>
    <w:semiHidden/>
    <w:unhideWhenUsed/>
    <w:uiPriority w:val="99"/>
    <w:pPr>
      <w:ind w:left="100" w:leftChars="2500"/>
    </w:pPr>
  </w:style>
  <w:style w:type="paragraph" w:styleId="8">
    <w:name w:val="Balloon Text"/>
    <w:basedOn w:val="1"/>
    <w:link w:val="66"/>
    <w:semiHidden/>
    <w:unhideWhenUsed/>
    <w:uiPriority w:val="99"/>
    <w:pPr>
      <w:spacing w:before="0" w:after="0" w:line="240" w:lineRule="auto"/>
    </w:pPr>
    <w:rPr>
      <w:sz w:val="18"/>
      <w:szCs w:val="18"/>
    </w:rPr>
  </w:style>
  <w:style w:type="paragraph" w:styleId="9">
    <w:name w:val="footer"/>
    <w:basedOn w:val="1"/>
    <w:link w:val="62"/>
    <w:unhideWhenUsed/>
    <w:qFormat/>
    <w:uiPriority w:val="99"/>
    <w:pPr>
      <w:tabs>
        <w:tab w:val="center" w:pos="4153"/>
        <w:tab w:val="right" w:pos="8306"/>
      </w:tabs>
      <w:spacing w:line="240" w:lineRule="auto"/>
      <w:jc w:val="left"/>
    </w:pPr>
    <w:rPr>
      <w:sz w:val="18"/>
      <w:szCs w:val="18"/>
    </w:rPr>
  </w:style>
  <w:style w:type="paragraph" w:styleId="10">
    <w:name w:val="header"/>
    <w:basedOn w:val="1"/>
    <w:link w:val="61"/>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1">
    <w:name w:val="Subtitle"/>
    <w:basedOn w:val="1"/>
    <w:next w:val="1"/>
    <w:link w:val="26"/>
    <w:qFormat/>
    <w:uiPriority w:val="11"/>
    <w:pPr>
      <w:spacing w:before="240" w:line="312" w:lineRule="auto"/>
      <w:ind w:firstLine="0" w:firstLineChars="0"/>
      <w:jc w:val="center"/>
      <w:outlineLvl w:val="1"/>
    </w:pPr>
    <w:rPr>
      <w:rFonts w:asciiTheme="minorHAnsi" w:hAnsiTheme="minorHAnsi" w:eastAsiaTheme="minorEastAsia"/>
      <w:b/>
      <w:bCs/>
      <w:kern w:val="28"/>
      <w:sz w:val="32"/>
      <w:szCs w:val="32"/>
    </w:rPr>
  </w:style>
  <w:style w:type="paragraph" w:styleId="12">
    <w:name w:val="HTML Preformatted"/>
    <w:basedOn w:val="1"/>
    <w:link w:val="6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beforeLines="0" w:after="0" w:afterLines="0" w:line="240" w:lineRule="auto"/>
      <w:ind w:firstLine="0" w:firstLineChars="0"/>
      <w:jc w:val="left"/>
    </w:pPr>
    <w:rPr>
      <w:rFonts w:ascii="Courier New" w:hAnsi="Courier New" w:eastAsia="Times New Roman" w:cs="Courier New"/>
      <w:kern w:val="0"/>
      <w:sz w:val="20"/>
      <w:szCs w:val="20"/>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customStyle="1" w:styleId="18">
    <w:name w:val="标题 1 字符"/>
    <w:basedOn w:val="15"/>
    <w:link w:val="2"/>
    <w:uiPriority w:val="9"/>
    <w:rPr>
      <w:rFonts w:ascii="Times New Roman" w:hAnsi="Times New Roman" w:eastAsia="黑体"/>
      <w:b/>
      <w:bCs/>
      <w:kern w:val="44"/>
      <w:sz w:val="28"/>
      <w:szCs w:val="44"/>
    </w:rPr>
  </w:style>
  <w:style w:type="paragraph" w:styleId="19">
    <w:name w:val="No Spacing"/>
    <w:qFormat/>
    <w:uiPriority w:val="1"/>
    <w:pPr>
      <w:widowControl w:val="0"/>
      <w:spacing w:before="240"/>
      <w:jc w:val="both"/>
    </w:pPr>
    <w:rPr>
      <w:rFonts w:eastAsia="宋体" w:asciiTheme="minorHAnsi" w:hAnsiTheme="minorHAnsi" w:cstheme="minorBidi"/>
      <w:kern w:val="2"/>
      <w:sz w:val="21"/>
      <w:szCs w:val="22"/>
      <w:lang w:val="en-US" w:eastAsia="zh-CN" w:bidi="ar-SA"/>
    </w:rPr>
  </w:style>
  <w:style w:type="character" w:customStyle="1" w:styleId="20">
    <w:name w:val="标题 2 字符"/>
    <w:basedOn w:val="15"/>
    <w:link w:val="3"/>
    <w:uiPriority w:val="9"/>
    <w:rPr>
      <w:rFonts w:ascii="Times New Roman" w:hAnsi="Times New Roman" w:eastAsia="黑体" w:cstheme="majorBidi"/>
      <w:b/>
      <w:bCs/>
      <w:sz w:val="24"/>
      <w:szCs w:val="32"/>
    </w:rPr>
  </w:style>
  <w:style w:type="character" w:customStyle="1" w:styleId="21">
    <w:name w:val="标题 3 字符"/>
    <w:basedOn w:val="15"/>
    <w:link w:val="4"/>
    <w:uiPriority w:val="9"/>
    <w:rPr>
      <w:rFonts w:ascii="Times New Roman" w:hAnsi="Times New Roman" w:eastAsia="宋体"/>
      <w:b/>
      <w:bCs/>
      <w:szCs w:val="32"/>
    </w:rPr>
  </w:style>
  <w:style w:type="character" w:customStyle="1" w:styleId="22">
    <w:name w:val="标题 4 字符"/>
    <w:basedOn w:val="15"/>
    <w:link w:val="5"/>
    <w:qFormat/>
    <w:uiPriority w:val="9"/>
    <w:rPr>
      <w:rFonts w:ascii="Times New Roman" w:hAnsi="Times New Roman" w:eastAsia="宋体" w:cstheme="majorBidi"/>
      <w:b/>
      <w:bCs/>
      <w:szCs w:val="28"/>
    </w:rPr>
  </w:style>
  <w:style w:type="character" w:customStyle="1" w:styleId="23">
    <w:name w:val="标题 5 字符"/>
    <w:basedOn w:val="15"/>
    <w:link w:val="6"/>
    <w:semiHidden/>
    <w:uiPriority w:val="9"/>
    <w:rPr>
      <w:rFonts w:eastAsia="宋体"/>
      <w:b/>
      <w:bCs/>
      <w:sz w:val="28"/>
      <w:szCs w:val="28"/>
    </w:rPr>
  </w:style>
  <w:style w:type="paragraph" w:customStyle="1" w:styleId="24">
    <w:name w:val="公文标题3"/>
    <w:basedOn w:val="1"/>
    <w:next w:val="1"/>
    <w:link w:val="25"/>
    <w:qFormat/>
    <w:uiPriority w:val="0"/>
    <w:pPr>
      <w:keepNext/>
      <w:keepLines/>
      <w:widowControl w:val="0"/>
      <w:spacing w:before="15" w:beforeLines="15" w:after="5" w:afterLines="5" w:line="240" w:lineRule="auto"/>
      <w:ind w:left="270" w:leftChars="270" w:firstLine="0" w:firstLineChars="0"/>
      <w:outlineLvl w:val="1"/>
    </w:pPr>
    <w:rPr>
      <w:rFonts w:ascii="仿宋" w:hAnsi="仿宋" w:eastAsia="楷体"/>
      <w:b/>
      <w:bCs/>
      <w:szCs w:val="32"/>
    </w:rPr>
  </w:style>
  <w:style w:type="character" w:customStyle="1" w:styleId="25">
    <w:name w:val="公文标题3 字符"/>
    <w:basedOn w:val="15"/>
    <w:link w:val="24"/>
    <w:qFormat/>
    <w:uiPriority w:val="0"/>
    <w:rPr>
      <w:rFonts w:ascii="仿宋" w:hAnsi="仿宋" w:eastAsia="楷体"/>
      <w:b/>
      <w:bCs/>
      <w:sz w:val="28"/>
      <w:szCs w:val="32"/>
    </w:rPr>
  </w:style>
  <w:style w:type="character" w:customStyle="1" w:styleId="26">
    <w:name w:val="副标题 字符"/>
    <w:basedOn w:val="15"/>
    <w:link w:val="11"/>
    <w:qFormat/>
    <w:uiPriority w:val="11"/>
    <w:rPr>
      <w:b/>
      <w:bCs/>
      <w:kern w:val="28"/>
      <w:sz w:val="32"/>
      <w:szCs w:val="32"/>
    </w:rPr>
  </w:style>
  <w:style w:type="paragraph" w:customStyle="1" w:styleId="27">
    <w:name w:val="wenzhang"/>
    <w:basedOn w:val="1"/>
    <w:link w:val="28"/>
    <w:uiPriority w:val="0"/>
    <w:pPr>
      <w:spacing w:after="78"/>
      <w:ind w:firstLine="560"/>
    </w:pPr>
  </w:style>
  <w:style w:type="character" w:customStyle="1" w:styleId="28">
    <w:name w:val="wenzhang 字符"/>
    <w:basedOn w:val="15"/>
    <w:link w:val="27"/>
    <w:uiPriority w:val="0"/>
    <w:rPr>
      <w:rFonts w:ascii="Times New Roman" w:hAnsi="Times New Roman" w:eastAsia="宋体"/>
      <w:sz w:val="24"/>
    </w:rPr>
  </w:style>
  <w:style w:type="paragraph" w:customStyle="1" w:styleId="29">
    <w:name w:val="WZbiaoti2"/>
    <w:basedOn w:val="3"/>
    <w:next w:val="30"/>
    <w:link w:val="31"/>
    <w:qFormat/>
    <w:uiPriority w:val="0"/>
    <w:pPr>
      <w:spacing w:before="75" w:beforeLines="75"/>
    </w:pPr>
    <w:rPr>
      <w:rFonts w:eastAsia="宋体"/>
    </w:rPr>
  </w:style>
  <w:style w:type="paragraph" w:customStyle="1" w:styleId="30">
    <w:name w:val="WZzhengwen"/>
    <w:basedOn w:val="1"/>
    <w:link w:val="34"/>
    <w:uiPriority w:val="0"/>
    <w:pPr>
      <w:spacing w:after="78"/>
      <w:ind w:firstLine="560"/>
    </w:pPr>
  </w:style>
  <w:style w:type="character" w:customStyle="1" w:styleId="31">
    <w:name w:val="WZbiaoti2 字符"/>
    <w:basedOn w:val="20"/>
    <w:link w:val="29"/>
    <w:uiPriority w:val="0"/>
    <w:rPr>
      <w:rFonts w:ascii="Times New Roman" w:hAnsi="Times New Roman" w:eastAsia="宋体" w:cstheme="majorBidi"/>
      <w:sz w:val="28"/>
      <w:szCs w:val="32"/>
    </w:rPr>
  </w:style>
  <w:style w:type="paragraph" w:customStyle="1" w:styleId="32">
    <w:name w:val="WZbiaoti1"/>
    <w:basedOn w:val="2"/>
    <w:link w:val="33"/>
    <w:uiPriority w:val="0"/>
    <w:pPr>
      <w:spacing w:before="156" w:after="78"/>
    </w:pPr>
    <w:rPr>
      <w:rFonts w:eastAsia="宋体"/>
      <w:sz w:val="32"/>
    </w:rPr>
  </w:style>
  <w:style w:type="character" w:customStyle="1" w:styleId="33">
    <w:name w:val="WZbiaoti1 字符"/>
    <w:basedOn w:val="18"/>
    <w:link w:val="32"/>
    <w:qFormat/>
    <w:uiPriority w:val="0"/>
    <w:rPr>
      <w:rFonts w:ascii="Times New Roman" w:hAnsi="Times New Roman" w:eastAsia="宋体"/>
      <w:kern w:val="44"/>
      <w:sz w:val="32"/>
      <w:szCs w:val="44"/>
    </w:rPr>
  </w:style>
  <w:style w:type="character" w:customStyle="1" w:styleId="34">
    <w:name w:val="WZzhengwen 字符"/>
    <w:basedOn w:val="15"/>
    <w:link w:val="30"/>
    <w:uiPriority w:val="0"/>
    <w:rPr>
      <w:rFonts w:ascii="Times New Roman" w:hAnsi="Times New Roman" w:eastAsia="宋体"/>
      <w:sz w:val="24"/>
    </w:rPr>
  </w:style>
  <w:style w:type="paragraph" w:customStyle="1" w:styleId="35">
    <w:name w:val="文章标题1"/>
    <w:basedOn w:val="2"/>
    <w:next w:val="36"/>
    <w:link w:val="37"/>
    <w:qFormat/>
    <w:uiPriority w:val="0"/>
    <w:pPr>
      <w:spacing w:before="156" w:after="78"/>
    </w:pPr>
    <w:rPr>
      <w:rFonts w:eastAsia="宋体"/>
    </w:rPr>
  </w:style>
  <w:style w:type="paragraph" w:customStyle="1" w:styleId="36">
    <w:name w:val="文章正文"/>
    <w:basedOn w:val="1"/>
    <w:link w:val="38"/>
    <w:uiPriority w:val="0"/>
    <w:pPr>
      <w:spacing w:after="78"/>
      <w:ind w:firstLine="560"/>
    </w:pPr>
  </w:style>
  <w:style w:type="character" w:customStyle="1" w:styleId="37">
    <w:name w:val="文章标题1 字符"/>
    <w:basedOn w:val="18"/>
    <w:link w:val="35"/>
    <w:uiPriority w:val="0"/>
    <w:rPr>
      <w:rFonts w:ascii="Times New Roman" w:hAnsi="Times New Roman" w:eastAsia="宋体"/>
      <w:kern w:val="44"/>
      <w:sz w:val="36"/>
      <w:szCs w:val="44"/>
    </w:rPr>
  </w:style>
  <w:style w:type="character" w:customStyle="1" w:styleId="38">
    <w:name w:val="文章正文 字符"/>
    <w:basedOn w:val="15"/>
    <w:link w:val="36"/>
    <w:uiPriority w:val="0"/>
    <w:rPr>
      <w:rFonts w:ascii="Times New Roman" w:hAnsi="Times New Roman" w:eastAsia="宋体"/>
      <w:sz w:val="24"/>
    </w:rPr>
  </w:style>
  <w:style w:type="paragraph" w:customStyle="1" w:styleId="39">
    <w:name w:val="文章标题2"/>
    <w:basedOn w:val="3"/>
    <w:next w:val="36"/>
    <w:link w:val="40"/>
    <w:uiPriority w:val="0"/>
    <w:pPr>
      <w:spacing w:before="75" w:beforeLines="75"/>
    </w:pPr>
    <w:rPr>
      <w:rFonts w:eastAsia="宋体"/>
    </w:rPr>
  </w:style>
  <w:style w:type="character" w:customStyle="1" w:styleId="40">
    <w:name w:val="文章标题2 字符"/>
    <w:basedOn w:val="20"/>
    <w:link w:val="39"/>
    <w:qFormat/>
    <w:uiPriority w:val="0"/>
    <w:rPr>
      <w:rFonts w:ascii="Times New Roman" w:hAnsi="Times New Roman" w:eastAsia="宋体" w:cstheme="majorBidi"/>
      <w:sz w:val="28"/>
      <w:szCs w:val="32"/>
    </w:rPr>
  </w:style>
  <w:style w:type="paragraph" w:customStyle="1" w:styleId="41">
    <w:name w:val="文章标题3"/>
    <w:basedOn w:val="4"/>
    <w:next w:val="36"/>
    <w:link w:val="42"/>
    <w:qFormat/>
    <w:uiPriority w:val="0"/>
    <w:pPr>
      <w:widowControl w:val="0"/>
      <w:spacing w:before="15" w:beforeLines="15"/>
      <w:ind w:left="200" w:leftChars="200" w:firstLine="0" w:firstLineChars="0"/>
    </w:pPr>
    <w:rPr>
      <w:rFonts w:ascii="仿宋" w:hAnsi="仿宋"/>
      <w:bCs w:val="0"/>
    </w:rPr>
  </w:style>
  <w:style w:type="character" w:customStyle="1" w:styleId="42">
    <w:name w:val="文章标题3 字符"/>
    <w:basedOn w:val="15"/>
    <w:link w:val="41"/>
    <w:uiPriority w:val="0"/>
    <w:rPr>
      <w:rFonts w:ascii="仿宋" w:hAnsi="仿宋" w:eastAsia="宋体"/>
      <w:b/>
      <w:sz w:val="24"/>
      <w:szCs w:val="32"/>
    </w:rPr>
  </w:style>
  <w:style w:type="paragraph" w:customStyle="1" w:styleId="43">
    <w:name w:val="文档标题1"/>
    <w:basedOn w:val="2"/>
    <w:next w:val="44"/>
    <w:link w:val="45"/>
    <w:uiPriority w:val="0"/>
    <w:pPr>
      <w:spacing w:before="156" w:after="78"/>
    </w:pPr>
  </w:style>
  <w:style w:type="paragraph" w:customStyle="1" w:styleId="44">
    <w:name w:val="文档正文"/>
    <w:basedOn w:val="1"/>
    <w:link w:val="50"/>
    <w:uiPriority w:val="0"/>
    <w:pPr>
      <w:spacing w:after="78"/>
      <w:ind w:firstLine="560"/>
    </w:pPr>
  </w:style>
  <w:style w:type="character" w:customStyle="1" w:styleId="45">
    <w:name w:val="文档标题1 字符"/>
    <w:basedOn w:val="18"/>
    <w:link w:val="43"/>
    <w:uiPriority w:val="0"/>
    <w:rPr>
      <w:rFonts w:ascii="Times New Roman" w:hAnsi="Times New Roman" w:eastAsia="黑体"/>
      <w:kern w:val="44"/>
      <w:sz w:val="36"/>
      <w:szCs w:val="44"/>
    </w:rPr>
  </w:style>
  <w:style w:type="paragraph" w:customStyle="1" w:styleId="46">
    <w:name w:val="文档标题2"/>
    <w:basedOn w:val="3"/>
    <w:next w:val="30"/>
    <w:link w:val="47"/>
    <w:uiPriority w:val="0"/>
    <w:pPr>
      <w:spacing w:before="75" w:beforeLines="75"/>
    </w:pPr>
  </w:style>
  <w:style w:type="character" w:customStyle="1" w:styleId="47">
    <w:name w:val="文档标题2 字符"/>
    <w:basedOn w:val="20"/>
    <w:link w:val="46"/>
    <w:uiPriority w:val="0"/>
    <w:rPr>
      <w:rFonts w:ascii="Times New Roman" w:hAnsi="Times New Roman" w:eastAsia="黑体" w:cstheme="majorBidi"/>
      <w:sz w:val="28"/>
      <w:szCs w:val="32"/>
    </w:rPr>
  </w:style>
  <w:style w:type="paragraph" w:customStyle="1" w:styleId="48">
    <w:name w:val="文档标题3"/>
    <w:basedOn w:val="1"/>
    <w:next w:val="1"/>
    <w:link w:val="49"/>
    <w:uiPriority w:val="0"/>
    <w:pPr>
      <w:widowControl w:val="0"/>
      <w:spacing w:before="15" w:beforeLines="15" w:after="5" w:afterLines="5" w:line="240" w:lineRule="auto"/>
      <w:ind w:left="270" w:leftChars="270" w:firstLine="0" w:firstLineChars="0"/>
      <w:outlineLvl w:val="1"/>
    </w:pPr>
    <w:rPr>
      <w:rFonts w:ascii="仿宋" w:hAnsi="仿宋" w:eastAsia="楷体"/>
      <w:b/>
      <w:bCs/>
      <w:szCs w:val="32"/>
    </w:rPr>
  </w:style>
  <w:style w:type="character" w:customStyle="1" w:styleId="49">
    <w:name w:val="文档标题3 字符"/>
    <w:basedOn w:val="15"/>
    <w:link w:val="48"/>
    <w:qFormat/>
    <w:uiPriority w:val="0"/>
    <w:rPr>
      <w:rFonts w:ascii="仿宋" w:hAnsi="仿宋" w:eastAsia="楷体"/>
      <w:b/>
      <w:bCs/>
      <w:sz w:val="28"/>
      <w:szCs w:val="32"/>
    </w:rPr>
  </w:style>
  <w:style w:type="character" w:customStyle="1" w:styleId="50">
    <w:name w:val="文档正文 字符"/>
    <w:basedOn w:val="15"/>
    <w:link w:val="44"/>
    <w:uiPriority w:val="0"/>
    <w:rPr>
      <w:rFonts w:ascii="Times New Roman" w:hAnsi="Times New Roman" w:eastAsia="宋体"/>
      <w:sz w:val="24"/>
    </w:rPr>
  </w:style>
  <w:style w:type="paragraph" w:customStyle="1" w:styleId="51">
    <w:name w:val="大标题1"/>
    <w:basedOn w:val="2"/>
    <w:next w:val="52"/>
    <w:link w:val="53"/>
    <w:qFormat/>
    <w:uiPriority w:val="0"/>
    <w:pPr>
      <w:spacing w:before="156" w:after="78"/>
    </w:pPr>
  </w:style>
  <w:style w:type="paragraph" w:customStyle="1" w:styleId="52">
    <w:name w:val="大正文"/>
    <w:basedOn w:val="1"/>
    <w:link w:val="58"/>
    <w:qFormat/>
    <w:uiPriority w:val="0"/>
    <w:pPr>
      <w:spacing w:after="78"/>
      <w:ind w:firstLine="560"/>
    </w:pPr>
  </w:style>
  <w:style w:type="character" w:customStyle="1" w:styleId="53">
    <w:name w:val="大标题1 字符"/>
    <w:basedOn w:val="18"/>
    <w:link w:val="51"/>
    <w:qFormat/>
    <w:uiPriority w:val="0"/>
    <w:rPr>
      <w:rFonts w:ascii="Times New Roman" w:hAnsi="Times New Roman" w:eastAsia="黑体"/>
      <w:kern w:val="44"/>
      <w:sz w:val="28"/>
      <w:szCs w:val="44"/>
    </w:rPr>
  </w:style>
  <w:style w:type="paragraph" w:customStyle="1" w:styleId="54">
    <w:name w:val="大标题2"/>
    <w:basedOn w:val="3"/>
    <w:next w:val="52"/>
    <w:link w:val="55"/>
    <w:qFormat/>
    <w:uiPriority w:val="0"/>
    <w:pPr>
      <w:spacing w:before="75" w:beforeLines="75"/>
    </w:pPr>
  </w:style>
  <w:style w:type="character" w:customStyle="1" w:styleId="55">
    <w:name w:val="大标题2 字符"/>
    <w:basedOn w:val="20"/>
    <w:link w:val="54"/>
    <w:qFormat/>
    <w:uiPriority w:val="0"/>
    <w:rPr>
      <w:rFonts w:ascii="Times New Roman" w:hAnsi="Times New Roman" w:eastAsia="黑体" w:cstheme="majorBidi"/>
      <w:sz w:val="28"/>
      <w:szCs w:val="32"/>
    </w:rPr>
  </w:style>
  <w:style w:type="paragraph" w:customStyle="1" w:styleId="56">
    <w:name w:val="大标题3"/>
    <w:basedOn w:val="4"/>
    <w:next w:val="52"/>
    <w:link w:val="57"/>
    <w:qFormat/>
    <w:uiPriority w:val="0"/>
    <w:pPr>
      <w:widowControl w:val="0"/>
      <w:spacing w:before="15" w:beforeLines="15" w:after="5" w:afterLines="5"/>
      <w:ind w:firstLine="0" w:firstLineChars="0"/>
    </w:pPr>
    <w:rPr>
      <w:rFonts w:ascii="仿宋" w:hAnsi="仿宋" w:eastAsia="楷体"/>
      <w:bCs w:val="0"/>
    </w:rPr>
  </w:style>
  <w:style w:type="character" w:customStyle="1" w:styleId="57">
    <w:name w:val="大标题3 字符"/>
    <w:basedOn w:val="15"/>
    <w:link w:val="56"/>
    <w:uiPriority w:val="0"/>
    <w:rPr>
      <w:rFonts w:ascii="仿宋" w:hAnsi="仿宋" w:eastAsia="楷体"/>
      <w:b/>
      <w:sz w:val="24"/>
      <w:szCs w:val="32"/>
    </w:rPr>
  </w:style>
  <w:style w:type="character" w:customStyle="1" w:styleId="58">
    <w:name w:val="大正文 字符"/>
    <w:basedOn w:val="15"/>
    <w:link w:val="52"/>
    <w:uiPriority w:val="0"/>
    <w:rPr>
      <w:rFonts w:ascii="Times New Roman" w:hAnsi="Times New Roman" w:eastAsia="仿宋"/>
      <w:sz w:val="24"/>
    </w:rPr>
  </w:style>
  <w:style w:type="paragraph" w:customStyle="1" w:styleId="59">
    <w:name w:val="工作大标题"/>
    <w:basedOn w:val="2"/>
    <w:next w:val="52"/>
    <w:link w:val="60"/>
    <w:uiPriority w:val="0"/>
    <w:pPr>
      <w:spacing w:before="156" w:after="78"/>
    </w:pPr>
  </w:style>
  <w:style w:type="character" w:customStyle="1" w:styleId="60">
    <w:name w:val="工作大标题 字符"/>
    <w:basedOn w:val="18"/>
    <w:link w:val="59"/>
    <w:uiPriority w:val="0"/>
    <w:rPr>
      <w:rFonts w:ascii="Times New Roman" w:hAnsi="Times New Roman" w:eastAsia="黑体"/>
      <w:kern w:val="44"/>
      <w:sz w:val="36"/>
      <w:szCs w:val="44"/>
    </w:rPr>
  </w:style>
  <w:style w:type="character" w:customStyle="1" w:styleId="61">
    <w:name w:val="页眉 字符"/>
    <w:basedOn w:val="15"/>
    <w:link w:val="10"/>
    <w:uiPriority w:val="99"/>
    <w:rPr>
      <w:rFonts w:ascii="Times New Roman" w:hAnsi="Times New Roman" w:eastAsia="仿宋"/>
      <w:sz w:val="18"/>
      <w:szCs w:val="18"/>
    </w:rPr>
  </w:style>
  <w:style w:type="character" w:customStyle="1" w:styleId="62">
    <w:name w:val="页脚 字符"/>
    <w:basedOn w:val="15"/>
    <w:link w:val="9"/>
    <w:uiPriority w:val="99"/>
    <w:rPr>
      <w:rFonts w:ascii="Times New Roman" w:hAnsi="Times New Roman" w:eastAsia="仿宋"/>
      <w:sz w:val="18"/>
      <w:szCs w:val="18"/>
    </w:rPr>
  </w:style>
  <w:style w:type="paragraph" w:styleId="63">
    <w:name w:val="List Paragraph"/>
    <w:basedOn w:val="1"/>
    <w:qFormat/>
    <w:uiPriority w:val="34"/>
    <w:pPr>
      <w:ind w:firstLine="420"/>
    </w:pPr>
  </w:style>
  <w:style w:type="character" w:customStyle="1" w:styleId="64">
    <w:name w:val="HTML 预设格式 字符"/>
    <w:basedOn w:val="15"/>
    <w:link w:val="12"/>
    <w:semiHidden/>
    <w:uiPriority w:val="99"/>
    <w:rPr>
      <w:rFonts w:ascii="Courier New" w:hAnsi="Courier New" w:eastAsia="Times New Roman" w:cs="Courier New"/>
      <w:kern w:val="0"/>
      <w:sz w:val="20"/>
      <w:szCs w:val="20"/>
    </w:rPr>
  </w:style>
  <w:style w:type="character" w:customStyle="1" w:styleId="65">
    <w:name w:val="未处理的提及1"/>
    <w:basedOn w:val="15"/>
    <w:semiHidden/>
    <w:unhideWhenUsed/>
    <w:qFormat/>
    <w:uiPriority w:val="99"/>
    <w:rPr>
      <w:color w:val="605E5C"/>
      <w:shd w:val="clear" w:color="auto" w:fill="E1DFDD"/>
    </w:rPr>
  </w:style>
  <w:style w:type="character" w:customStyle="1" w:styleId="66">
    <w:name w:val="批注框文本 字符"/>
    <w:basedOn w:val="15"/>
    <w:link w:val="8"/>
    <w:semiHidden/>
    <w:uiPriority w:val="99"/>
    <w:rPr>
      <w:rFonts w:ascii="Times New Roman" w:hAnsi="Times New Roman" w:eastAsia="宋体"/>
      <w:kern w:val="2"/>
      <w:sz w:val="18"/>
      <w:szCs w:val="18"/>
    </w:rPr>
  </w:style>
  <w:style w:type="character" w:customStyle="1" w:styleId="67">
    <w:name w:val="日期 字符"/>
    <w:basedOn w:val="15"/>
    <w:link w:val="7"/>
    <w:semiHidden/>
    <w:uiPriority w:val="99"/>
    <w:rPr>
      <w:rFonts w:ascii="Times New Roman" w:hAnsi="Times New Roman"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8423-6DF8-4876-A076-B71A2D20F091}">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486</Words>
  <Characters>2776</Characters>
  <Lines>23</Lines>
  <Paragraphs>6</Paragraphs>
  <TotalTime>1229</TotalTime>
  <ScaleCrop>false</ScaleCrop>
  <LinksUpToDate>false</LinksUpToDate>
  <CharactersWithSpaces>3256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2023-09-04T07:38:00Z</dcterms:created>
  <dc:creator>FU ZETIAN</dc:creator>
  <cp:lastModifiedBy>艾欧</cp:lastModifiedBy>
  <cp:lastPrinted>2023-09-05T07:01:00Z</cp:lastPrinted>
  <dcterms:modified xsi:type="dcterms:W3CDTF">2023-09-07T01:15:42Z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93265DA21C48476CAFE21AF9193C28CF_13</vt:lpwstr>
  </property>
</Properties>
</file>